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240" w:after="283"/>
        <w:jc w:val="center"/>
        <w:rPr/>
      </w:pPr>
      <w:r>
        <w:rPr>
          <w:color w:val="000000"/>
        </w:rPr>
        <w:t>☒ </w:t>
      </w:r>
      <w:r>
        <w:rPr>
          <w:rFonts w:ascii="Times New Roman;sans-serif" w:hAnsi="Times New Roman;sans-serif"/>
          <w:b/>
          <w:color w:val="000000"/>
          <w:sz w:val="20"/>
        </w:rPr>
        <w:t>QUARTERLY REPORT PURSUANT TO SECTION 13 OR 15(d) OF THE SECURITIES EXCHANGE ACT OF 1934</w:t>
      </w:r>
      <w:r>
        <w:rPr>
          <w:color w:val="000000"/>
        </w:rPr>
        <w:t> </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p>
      <w:pPr>
        <w:pStyle w:val="TextBody"/>
        <w:bidi w:val="0"/>
        <w:spacing w:lineRule="auto" w:line="288" w:before="240" w:after="283"/>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60" w:after="283"/>
        <w:jc w:val="center"/>
        <w:rPr/>
      </w:pPr>
      <w:r>
        <w:rPr>
          <w:rFonts w:ascii="Times New Roman;sans-serif" w:hAnsi="Times New Roman;sans-serif"/>
          <w:b w:val="false"/>
          <w:color w:val="000000"/>
          <w:sz w:val="20"/>
        </w:rPr>
        <w:t xml:space="preserve">For the transition period from </w:t>
      </w:r>
      <w:r>
        <w:rPr>
          <w:rFonts w:ascii="Times New Roman;sans-serif" w:hAnsi="Times New Roman;sans-serif"/>
          <w:b w:val="false"/>
          <w:color w:val="000000"/>
          <w:sz w:val="12"/>
        </w:rPr>
        <w:t xml:space="preserve">_______________________ </w:t>
      </w:r>
      <w:r>
        <w:rPr>
          <w:rFonts w:ascii="Times New Roman;sans-serif" w:hAnsi="Times New Roman;sans-serif"/>
          <w:b w:val="false"/>
          <w:color w:val="000000"/>
          <w:sz w:val="20"/>
        </w:rPr>
        <w:t xml:space="preserve">to </w:t>
      </w:r>
      <w:r>
        <w:rPr>
          <w:rFonts w:ascii="Times New Roman;sans-serif" w:hAnsi="Times New Roman;sans-serif"/>
          <w:b w:val="false"/>
          <w:color w:val="000000"/>
          <w:sz w:val="12"/>
        </w:rPr>
        <w:t>_______________________</w:t>
      </w:r>
      <w:r>
        <w:rPr>
          <w:rFonts w:ascii="Times New Roman;sans-serif" w:hAnsi="Times New Roman;sans-serif"/>
          <w:b w:val="false"/>
          <w:color w:val="000000"/>
          <w:sz w:val="20"/>
        </w:rPr>
        <w:t>.</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001-38180</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HF FOODS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9"/>
        <w:gridCol w:w="1581"/>
        <w:gridCol w:w="1585"/>
        <w:gridCol w:w="886"/>
        <w:gridCol w:w="886"/>
        <w:gridCol w:w="1257"/>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7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6325 South Rainbow Boulevard, Suite 420, Las Vegas, NV 89118</w:t>
            </w:r>
          </w:p>
        </w:tc>
      </w:tr>
      <w:tr>
        <w:trPr/>
        <w:tc>
          <w:tcPr>
            <w:tcW w:w="79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(888) 905-0988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63" w:type="dxa"/>
        <w:jc w:val="left"/>
        <w:tblInd w:w="0" w:type="dxa"/>
        <w:tblLayout w:type="fixed"/>
        <w:tblCellMar>
          <w:top w:w="28" w:type="dxa"/>
          <w:left w:w="28" w:type="dxa"/>
          <w:bottom w:w="28" w:type="dxa"/>
          <w:right w:w="28" w:type="dxa"/>
        </w:tblCellMar>
      </w:tblPr>
      <w:tblGrid>
        <w:gridCol w:w="1062"/>
        <w:gridCol w:w="933"/>
        <w:gridCol w:w="944"/>
        <w:gridCol w:w="499"/>
        <w:gridCol w:w="499"/>
        <w:gridCol w:w="501"/>
        <w:gridCol w:w="1118"/>
        <w:gridCol w:w="1118"/>
        <w:gridCol w:w="1589"/>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HFFG</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Share Purchase Rights</w:t>
            </w:r>
          </w:p>
        </w:tc>
        <w:tc>
          <w:tcPr>
            <w:tcW w:w="14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26"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7, 2024, the registrant had 52,737,650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September 30, 2024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20" w:type="dxa"/>
        <w:jc w:val="left"/>
        <w:tblInd w:w="0" w:type="dxa"/>
        <w:tblLayout w:type="fixed"/>
        <w:tblCellMar>
          <w:top w:w="28" w:type="dxa"/>
          <w:left w:w="28" w:type="dxa"/>
          <w:bottom w:w="28" w:type="dxa"/>
          <w:right w:w="28" w:type="dxa"/>
        </w:tblCellMar>
      </w:tblPr>
      <w:tblGrid>
        <w:gridCol w:w="320"/>
        <w:gridCol w:w="281"/>
        <w:gridCol w:w="283"/>
        <w:gridCol w:w="2439"/>
        <w:gridCol w:w="2439"/>
        <w:gridCol w:w="248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127">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10">
              <w:r>
                <w:rPr>
                  <w:rStyle w:val="InternetLink"/>
                  <w:rFonts w:ascii="Times New Roman;sans-serif" w:hAnsi="Times New Roman;sans-serif"/>
                  <w:b/>
                  <w:strike w:val="false"/>
                  <w:dstrike w:val="false"/>
                  <w:color w:val="000000"/>
                  <w:sz w:val="20"/>
                  <w:u w:val="none"/>
                  <w:effect w:val="none"/>
                </w:rPr>
                <w:t>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3">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16">
              <w:r>
                <w:rPr>
                  <w:rStyle w:val="InternetLink"/>
                  <w:rFonts w:ascii="Times New Roman;sans-serif" w:hAnsi="Times New Roman;sans-serif"/>
                  <w:b w:val="false"/>
                  <w:strike w:val="false"/>
                  <w:dstrike w:val="false"/>
                  <w:color w:val="000000"/>
                  <w:sz w:val="20"/>
                  <w:u w:val="none"/>
                  <w:effect w:val="non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2">
              <w:r>
                <w:rPr>
                  <w:rStyle w:val="InternetLink"/>
                  <w:rFonts w:ascii="Times New Roman;sans-serif" w:hAnsi="Times New Roman;sans-serif"/>
                  <w:b w:val="false"/>
                  <w:strike w:val="false"/>
                  <w:dstrike w:val="false"/>
                  <w:color w:val="000000"/>
                  <w:sz w:val="20"/>
                  <w:u w:val="none"/>
                  <w:effect w:val="none"/>
                </w:rPr>
                <w:t xml:space="preserve">Condensed Consolidated Statements of Operations and Comprehensive </w:t>
              </w:r>
            </w:hyperlink>
            <w:r>
              <w:rPr>
                <w:rFonts w:ascii="Times New Roman;sans-serif" w:hAnsi="Times New Roman;sans-serif"/>
                <w:b w:val="false"/>
                <w:color w:val="000000"/>
                <w:sz w:val="20"/>
              </w:rPr>
              <w:t xml:space="preserve">Loss </w:t>
            </w:r>
            <w:hyperlink w:anchor="i2c9ded65822f43a6a62543d260ced36a_196">
              <w:r>
                <w:rPr>
                  <w:rStyle w:val="InternetLink"/>
                  <w:rFonts w:ascii="Times New Roman;sans-serif" w:hAnsi="Times New Roman;sans-serif"/>
                  <w:b w:val="false"/>
                  <w:strike w:val="false"/>
                  <w:dstrike w:val="false"/>
                  <w:color w:val="000000"/>
                  <w:sz w:val="20"/>
                  <w:u w:val="none"/>
                  <w:effect w:val="none"/>
                </w:rPr>
                <w:t>(Unaudited)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22">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5">
              <w:r>
                <w:rPr>
                  <w:rStyle w:val="InternetLink"/>
                  <w:rFonts w:ascii="Times New Roman;sans-serif" w:hAnsi="Times New Roman;sans-serif"/>
                  <w:b w:val="false"/>
                  <w:strike w:val="false"/>
                  <w:dstrike w:val="false"/>
                  <w:color w:val="000000"/>
                  <w:sz w:val="20"/>
                  <w:u w:val="none"/>
                  <w:effect w:val="none"/>
                </w:rPr>
                <w:t>Condensed Consolidated Statements of Cash Flows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25">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8">
              <w:r>
                <w:rPr>
                  <w:rStyle w:val="InternetLink"/>
                  <w:rFonts w:ascii="Times New Roman;sans-serif" w:hAnsi="Times New Roman;sans-serif"/>
                  <w:b w:val="false"/>
                  <w:strike w:val="false"/>
                  <w:dstrike w:val="false"/>
                  <w:color w:val="000000"/>
                  <w:sz w:val="20"/>
                  <w:u w:val="none"/>
                  <w:effect w:val="none"/>
                </w:rPr>
                <w:t>Condensed Consolidated Statements of Changes in Shareholders’ Equity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28">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31">
              <w:r>
                <w:rPr>
                  <w:rStyle w:val="InternetLink"/>
                  <w:rFonts w:ascii="Times New Roman;sans-serif" w:hAnsi="Times New Roman;sans-serif"/>
                  <w:b w:val="false"/>
                  <w:strike w:val="false"/>
                  <w:dstrike w:val="false"/>
                  <w:color w:val="000000"/>
                  <w:sz w:val="20"/>
                  <w:u w:val="none"/>
                  <w:effect w:val="none"/>
                </w:rPr>
                <w:t>Notes to Unaudited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124">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24">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w:t>
            </w:r>
            <w:hyperlink w:anchor="i2c9ded65822f43a6a62543d260ced36a_145">
              <w:r>
                <w:rPr>
                  <w:rStyle w:val="InternetLink"/>
                  <w:rFonts w:ascii="Times New Roman;sans-serif" w:hAnsi="Times New Roman;sans-serif"/>
                  <w:b w:val="false"/>
                  <w:strike w:val="false"/>
                  <w:dstrike w:val="false"/>
                  <w:color w:val="000000"/>
                  <w:sz w:val="20"/>
                  <w:u w:val="none"/>
                  <w:effect w:val="none"/>
                </w:rPr>
                <w:t>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45">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48">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5">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5">
              <w:r>
                <w:rPr>
                  <w:rStyle w:val="InternetLink"/>
                  <w:rFonts w:ascii="Times New Roman;sans-serif" w:hAnsi="Times New Roman;sans-serif"/>
                  <w:b/>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w:t>
            </w:r>
            <w:hyperlink w:anchor="i2c9ded65822f43a6a62543d260ced36a_208">
              <w:r>
                <w:rPr>
                  <w:rStyle w:val="InternetLink"/>
                  <w:rFonts w:ascii="Times New Roman;sans-serif" w:hAnsi="Times New Roman;sans-serif"/>
                  <w:b w:val="false"/>
                  <w:strike w:val="false"/>
                  <w:dstrike w:val="false"/>
                  <w:color w:val="000000"/>
                  <w:sz w:val="20"/>
                  <w:u w:val="none"/>
                  <w:effect w:val="none"/>
                </w:rPr>
                <w:t>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54">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196">
              <w:r>
                <w:rPr>
                  <w:rStyle w:val="InternetLink"/>
                  <w:rFonts w:ascii="Times New Roman;sans-serif" w:hAnsi="Times New Roman;sans-serif"/>
                  <w:b w:val="false"/>
                  <w:strike w:val="false"/>
                  <w:dstrike w:val="false"/>
                  <w:color w:val="000000"/>
                  <w:sz w:val="20"/>
                  <w:u w:val="none"/>
                  <w:effect w:val="non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57">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60">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34">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63">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11">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66">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56">
              <w:r>
                <w:rPr>
                  <w:rStyle w:val="InternetLink"/>
                  <w:rFonts w:ascii="Times New Roman;sans-serif" w:hAnsi="Times New Roman;sans-serif"/>
                  <w:b w:val="false"/>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69">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172">
              <w:r>
                <w:rPr>
                  <w:rStyle w:val="InternetLink"/>
                  <w:rFonts w:ascii="Times New Roman;sans-serif" w:hAnsi="Times New Roman;sans-serif"/>
                  <w:b w:val="false"/>
                  <w:strike w:val="false"/>
                  <w:dstrike w:val="false"/>
                  <w:color w:val="000000"/>
                  <w:sz w:val="20"/>
                  <w:u w:val="none"/>
                  <w:effect w:val="non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72">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c9ded65822f43a6a62543d260ced36a_292">
              <w:r>
                <w:rPr>
                  <w:rStyle w:val="InternetLink"/>
                  <w:rFonts w:ascii="Times New Roman;sans-serif" w:hAnsi="Times New Roman;sans-serif"/>
                  <w:b/>
                  <w:strike w:val="false"/>
                  <w:dstrike w:val="false"/>
                  <w:color w:val="000000"/>
                  <w:sz w:val="20"/>
                  <w:u w:val="none"/>
                  <w:effect w:val="none"/>
                </w:rPr>
                <w:t>SIGNATURE PAGE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c9ded65822f43a6a62543d260ced36a_175">
              <w:r>
                <w:rPr>
                  <w:rStyle w:val="InternetLink"/>
                  <w:rFonts w:ascii="Times New Roman;sans-serif" w:hAnsi="Times New Roman;sans-serif"/>
                  <w:b w:val="false"/>
                  <w:strike w:val="false"/>
                  <w:dstrike w:val="false"/>
                  <w:color w:val="000000"/>
                  <w:sz w:val="20"/>
                  <w:u w:val="none"/>
                  <w:effect w:val="non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06"/>
        <w:gridCol w:w="2196"/>
        <w:gridCol w:w="2215"/>
        <w:gridCol w:w="235"/>
        <w:gridCol w:w="903"/>
        <w:gridCol w:w="130"/>
        <w:gridCol w:w="109"/>
        <w:gridCol w:w="109"/>
        <w:gridCol w:w="109"/>
        <w:gridCol w:w="229"/>
        <w:gridCol w:w="880"/>
        <w:gridCol w:w="184"/>
      </w:tblGrid>
      <w:tr>
        <w:trPr/>
        <w:tc>
          <w:tcPr>
            <w:tcW w:w="290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$2,077 and $2,119</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192,919</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178,827</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trade names and other intangibles,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612,750</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596,520</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finance leases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operating leases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163,111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143,264</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non-current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non-current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327,140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308,537</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Participating Preferred Stock, par value $0.001; 100,000 shares authorized, no shares issued and outstanding</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1,000,000 shares authorized; no shares issued and outstanding</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$0.0001 par value; 100,000,000 shares authorized; 54,734,585 and 54,153,391 shares issued and 52,737,162 and 52,155,968 shares outstanding as of September 30, 2024 and December 31, 2023, respectively </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1,997,423 shares as of September 30, 2024 and December 31, 2023</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(308,688)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 ATTRIBUTABLE TO HF FOODS GROUP INC.</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283,060</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286,661</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285,610</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287,983</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612,750</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596,520</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36270"/>
                <wp:effectExtent l="0" t="0" r="0" b="0"/>
                <wp:wrapNone/>
                <wp:docPr id="3" name="Frame3"/>
                <a:graphic xmlns:a="http://schemas.openxmlformats.org/drawingml/2006/main">
                  <a:graphicData uri="http://schemas.microsoft.com/office/word/2010/wordprocessingShape">
                    <wps:wsp>
                      <wps:cNvSpPr txBox="1"/>
                      <wps:spPr>
                        <a:xfrm>
                          <a:off x="0" y="0"/>
                          <a:ext cx="6480175" cy="6362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30"/>
        <w:gridCol w:w="1171"/>
        <w:gridCol w:w="1176"/>
        <w:gridCol w:w="235"/>
        <w:gridCol w:w="790"/>
        <w:gridCol w:w="116"/>
        <w:gridCol w:w="116"/>
        <w:gridCol w:w="116"/>
        <w:gridCol w:w="116"/>
        <w:gridCol w:w="235"/>
        <w:gridCol w:w="790"/>
        <w:gridCol w:w="116"/>
        <w:gridCol w:w="109"/>
        <w:gridCol w:w="109"/>
        <w:gridCol w:w="109"/>
        <w:gridCol w:w="228"/>
        <w:gridCol w:w="785"/>
        <w:gridCol w:w="114"/>
        <w:gridCol w:w="114"/>
        <w:gridCol w:w="114"/>
        <w:gridCol w:w="114"/>
        <w:gridCol w:w="228"/>
        <w:gridCol w:w="785"/>
        <w:gridCol w:w="114"/>
        <w:gridCol w:w="109"/>
        <w:gridCol w:w="166"/>
      </w:tblGrid>
      <w:tr>
        <w:trPr/>
        <w:tc>
          <w:tcPr>
            <w:tcW w:w="20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third parties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862,561 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related parties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298,389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281,453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896,385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867,620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third parties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740,969 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710,953 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related parties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248,226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230,528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743,346</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715,857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50,163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50,925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153,039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151,763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selling and administrative expenses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3,051</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(2,250)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income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BEFORE INCOME TAXES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(5,091)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(3,997)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(7,436)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(LOSS) INCOME</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(3,837)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1,974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(4,161)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(5,383)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(LOSS) INCOME ATTRIBUTABLE TO HF FOODS GROUP INC.</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(3,940)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1,884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(4,617)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(4,899)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BASIC</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DILUTED</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(0.07)</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0.03</w:t>
            </w: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(0.09)</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(0.09)</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52,726,683</w:t>
            </w: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54,142,396</w:t>
            </w: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52,490,321</w:t>
            </w: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54,005,010</w:t>
            </w: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102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52,726,683</w:t>
            </w:r>
            <w:r>
              <w:rPr>
                <w:color w:val="000000"/>
              </w:rPr>
              <w:t>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54,513,314</w:t>
            </w:r>
            <w:r>
              <w:rPr>
                <w:color w:val="000000"/>
              </w:rPr>
              <w:t>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52,490,321</w:t>
            </w:r>
            <w:r>
              <w:rPr>
                <w:color w:val="000000"/>
              </w:rPr>
              <w:t>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54,005,010</w:t>
            </w:r>
            <w:r>
              <w:rPr>
                <w:color w:val="000000"/>
              </w:rPr>
              <w:t>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815" w:type="dxa"/>
        <w:jc w:val="center"/>
        <w:tblInd w:w="0" w:type="dxa"/>
        <w:tblLayout w:type="fixed"/>
        <w:tblCellMar>
          <w:top w:w="28" w:type="dxa"/>
          <w:left w:w="28" w:type="dxa"/>
          <w:bottom w:w="28" w:type="dxa"/>
          <w:right w:w="28" w:type="dxa"/>
        </w:tblCellMar>
      </w:tblPr>
      <w:tblGrid>
        <w:gridCol w:w="2445"/>
        <w:gridCol w:w="2144"/>
        <w:gridCol w:w="2160"/>
        <w:gridCol w:w="243"/>
        <w:gridCol w:w="821"/>
        <w:gridCol w:w="135"/>
        <w:gridCol w:w="135"/>
        <w:gridCol w:w="135"/>
        <w:gridCol w:w="135"/>
        <w:gridCol w:w="243"/>
        <w:gridCol w:w="821"/>
        <w:gridCol w:w="135"/>
        <w:gridCol w:w="109"/>
        <w:gridCol w:w="154"/>
      </w:tblGrid>
      <w:tr>
        <w:trPr/>
        <w:tc>
          <w:tcPr>
            <w:tcW w:w="2445"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(4,161)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(5,383)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to net cash (used in) provided by operating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 charges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income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expense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operating activities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(3,299)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20,624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(9,423)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(2,595)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 withholding related to vested stock awards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1,120,318 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891,510 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line of credit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(1,112,012)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obligations under finance leases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 to shareholders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8,935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(28,018)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(3,787)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(9,989)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beginning of the period</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15,232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24,289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the period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11,445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14,300</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acquired in exchange for finance leases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Dissolution of noncontrolling interests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included in accounts payable</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related to property and equipment sales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12453" w:type="dxa"/>
        <w:jc w:val="left"/>
        <w:tblInd w:w="0" w:type="dxa"/>
        <w:tblLayout w:type="fixed"/>
        <w:tblCellMar>
          <w:top w:w="28" w:type="dxa"/>
          <w:left w:w="28" w:type="dxa"/>
          <w:bottom w:w="28" w:type="dxa"/>
          <w:right w:w="28" w:type="dxa"/>
        </w:tblCellMar>
      </w:tblPr>
      <w:tblGrid>
        <w:gridCol w:w="611"/>
        <w:gridCol w:w="234"/>
        <w:gridCol w:w="236"/>
        <w:gridCol w:w="488"/>
        <w:gridCol w:w="488"/>
        <w:gridCol w:w="196"/>
        <w:gridCol w:w="109"/>
        <w:gridCol w:w="109"/>
        <w:gridCol w:w="109"/>
        <w:gridCol w:w="241"/>
        <w:gridCol w:w="315"/>
        <w:gridCol w:w="135"/>
        <w:gridCol w:w="109"/>
        <w:gridCol w:w="109"/>
        <w:gridCol w:w="109"/>
        <w:gridCol w:w="203"/>
        <w:gridCol w:w="203"/>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06"/>
        <w:gridCol w:w="790"/>
        <w:gridCol w:w="115"/>
        <w:gridCol w:w="109"/>
        <w:gridCol w:w="109"/>
        <w:gridCol w:w="109"/>
        <w:gridCol w:w="268"/>
        <w:gridCol w:w="782"/>
        <w:gridCol w:w="151"/>
        <w:gridCol w:w="109"/>
        <w:gridCol w:w="109"/>
        <w:gridCol w:w="109"/>
        <w:gridCol w:w="205"/>
        <w:gridCol w:w="788"/>
        <w:gridCol w:w="163"/>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ans-serif" w:hAnsi="Times New Roman;sans-serif"/>
                <w:b/>
                <w:sz w:val="16"/>
              </w:rPr>
              <w:br/>
            </w: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53,813,777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598,322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(306,514)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291,813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4,436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296,249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53,844,492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599,384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286,942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4,572</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291,514</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54,086,164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600,030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(313,297)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286,738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3,862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290,600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shareholders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54,152,903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600,696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(311,413)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289,288</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3,068</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292,356</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13173" w:type="dxa"/>
        <w:jc w:val="left"/>
        <w:tblInd w:w="0" w:type="dxa"/>
        <w:tblLayout w:type="fixed"/>
        <w:tblCellMar>
          <w:top w:w="28" w:type="dxa"/>
          <w:left w:w="28" w:type="dxa"/>
          <w:bottom w:w="28" w:type="dxa"/>
          <w:right w:w="28" w:type="dxa"/>
        </w:tblCellMar>
      </w:tblPr>
      <w:tblGrid>
        <w:gridCol w:w="686"/>
        <w:gridCol w:w="234"/>
        <w:gridCol w:w="236"/>
        <w:gridCol w:w="488"/>
        <w:gridCol w:w="488"/>
        <w:gridCol w:w="196"/>
        <w:gridCol w:w="109"/>
        <w:gridCol w:w="109"/>
        <w:gridCol w:w="109"/>
        <w:gridCol w:w="241"/>
        <w:gridCol w:w="315"/>
        <w:gridCol w:w="135"/>
        <w:gridCol w:w="109"/>
        <w:gridCol w:w="109"/>
        <w:gridCol w:w="109"/>
        <w:gridCol w:w="443"/>
        <w:gridCol w:w="443"/>
        <w:gridCol w:w="196"/>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206"/>
        <w:gridCol w:w="790"/>
        <w:gridCol w:w="115"/>
        <w:gridCol w:w="109"/>
        <w:gridCol w:w="109"/>
        <w:gridCol w:w="109"/>
        <w:gridCol w:w="268"/>
        <w:gridCol w:w="782"/>
        <w:gridCol w:w="151"/>
        <w:gridCol w:w="109"/>
        <w:gridCol w:w="109"/>
        <w:gridCol w:w="109"/>
        <w:gridCol w:w="205"/>
        <w:gridCol w:w="788"/>
        <w:gridCol w:w="163"/>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ans-serif" w:hAnsi="Times New Roman;sans-serif"/>
                <w:b/>
                <w:sz w:val="16"/>
              </w:rPr>
              <w:br/>
            </w: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54,153,391</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1,997,423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603,094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(308,688)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286,661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1,322</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287,983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54,153,391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1,997,423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603,832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(309,382)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286,705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1,457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288,162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Dissolution of noncontrolling interests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54,668,169</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1,997,423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603,454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(309,365)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286,344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2,447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288,791</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54,734,585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1,997,423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604,110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(313,305)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283,060</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2,550</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285,610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Group Inc. and subsidiaries (collectively “HF Foods”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Foods, which operates solely in the United States. The Company's customer base consists primarily of Asian restaurants, and it provides sales and service support to customers who mainly converse in Mandarin or Chinese dialects.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related financial information should be read in conjunction with the audited consolidated financial statements and the related notes thereto that are included in our Annual Report on Form 10-K for the year ended December 31, 2023 filed with the SEC on March 26, 2024 (the “2023 Annual Report”). There have been no material changes to the Company’s significant accounting policies as compared to the significant accounting policies described in the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intercompany balances and transactions have been eliminated in consolidation. For consolidated entities where we own or are exposed to less than 100% of the economics, the Company records net income (loss) attributable to noncontrolling interest in its condensed consolidated statements of operations and comprehensive loss equal to the percentage of the economic or ownership interest retained in such entity by the respective noncontrolling party.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previously disclosed one VIE, AnHeart, Inc. (“AnHeart”), for which the Company was not the primary beneficiary and therefore did not consolidate. Effective April 30, 2024, the Company assumed the lease for which AnHeart was a lessee and the Company was a guarantor, and as such, it no longer recognizes AnHeart as a VIE as of September 30, 2024. See </w:t>
      </w:r>
      <w:r>
        <w:rPr>
          <w:rFonts w:ascii="Times New Roman;sans-serif" w:hAnsi="Times New Roman;sans-serif"/>
          <w:b w:val="false"/>
          <w:i/>
          <w:color w:val="000000"/>
          <w:sz w:val="20"/>
        </w:rPr>
        <w:t xml:space="preserve">Note 13 - Commitments and Contingencies </w:t>
      </w:r>
      <w:r>
        <w:rPr>
          <w:rFonts w:ascii="Times New Roman;sans-serif" w:hAnsi="Times New Roman;sans-serif"/>
          <w:b w:val="false"/>
          <w:color w:val="000000"/>
          <w:sz w:val="20"/>
        </w:rPr>
        <w:t xml:space="preserve">for additional information on AnHeart.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noncontrolling interest equity consisted of the following:</w:t>
      </w:r>
    </w:p>
    <w:tbl>
      <w:tblPr>
        <w:tblW w:w="10205" w:type="dxa"/>
        <w:jc w:val="left"/>
        <w:tblInd w:w="0" w:type="dxa"/>
        <w:tblLayout w:type="fixed"/>
        <w:tblCellMar>
          <w:top w:w="28" w:type="dxa"/>
          <w:left w:w="28" w:type="dxa"/>
          <w:bottom w:w="28" w:type="dxa"/>
          <w:right w:w="28" w:type="dxa"/>
        </w:tblCellMar>
      </w:tblPr>
      <w:tblGrid>
        <w:gridCol w:w="943"/>
        <w:gridCol w:w="829"/>
        <w:gridCol w:w="835"/>
        <w:gridCol w:w="109"/>
        <w:gridCol w:w="109"/>
        <w:gridCol w:w="109"/>
        <w:gridCol w:w="1134"/>
        <w:gridCol w:w="1134"/>
        <w:gridCol w:w="1136"/>
        <w:gridCol w:w="109"/>
        <w:gridCol w:w="109"/>
        <w:gridCol w:w="109"/>
        <w:gridCol w:w="360"/>
        <w:gridCol w:w="1057"/>
        <w:gridCol w:w="187"/>
        <w:gridCol w:w="109"/>
        <w:gridCol w:w="109"/>
        <w:gridCol w:w="109"/>
        <w:gridCol w:w="344"/>
        <w:gridCol w:w="1007"/>
        <w:gridCol w:w="258"/>
      </w:tblGrid>
      <w:tr>
        <w:trPr/>
        <w:tc>
          <w:tcPr>
            <w:tcW w:w="9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noncontrolling interest at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HF Foods Industrial, LLC ("HFFI")</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(a)During the nine months ended September 30, 2024, upon dissolution of HFFI, the Company assumed HFFI’s remaining assets and liabilities. In accordance with ASC Topic 810 (“ASC 810”), Consolidation, changes in a parent’s ownership interest while the parent retains its controlling financial interest in its subsidiary shall be accounted for as equity transactions. No gain or loss was recognized. As a result of this transaction, noncontrolling interest of $(0.8) million was reclassified to additional paid-in capital on the condensed consolidated balance sheets.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inventory reserves, impairment of long-lived assets, impairment of goodwill, and the purchase price allocation and fair value of assets and liabilities acquired with respect to business combinations.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Accounting Standards Update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The impact of the adoption of this ASU is not expected to have a material effect on the Company’s financial position, or operations, however, the Company is currently evaluating the impact of this standard on its disclosures to the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requires public entities to disclose specific categories in its annual effective tax rate reconciliation and disaggregated information about significant reconciling items by jurisdiction and by nature. This guidance also requires entities to disclose their income tax payments (net of refunds) to international, federal, and state and local jurisdictions. This guidance is effective for fiscal years beginning after December 15, 2024, and requires prospective application with the option to apply it retrospectively. Early adoption is permitted. The Company is currently evaluating the impact of this guidance on the consolidated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revenue disaggregated by principal product categories:</w:t>
      </w:r>
    </w:p>
    <w:tbl>
      <w:tblPr>
        <w:tblW w:w="11725" w:type="dxa"/>
        <w:jc w:val="left"/>
        <w:tblInd w:w="0" w:type="dxa"/>
        <w:tblLayout w:type="fixed"/>
        <w:tblCellMar>
          <w:top w:w="28" w:type="dxa"/>
          <w:left w:w="28" w:type="dxa"/>
          <w:bottom w:w="28" w:type="dxa"/>
          <w:right w:w="28" w:type="dxa"/>
        </w:tblCellMar>
      </w:tblPr>
      <w:tblGrid>
        <w:gridCol w:w="492"/>
        <w:gridCol w:w="301"/>
        <w:gridCol w:w="303"/>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p>
      <w:pPr>
        <w:pStyle w:val="TextBody"/>
        <w:bidi w:val="0"/>
        <w:spacing w:before="0" w:after="0"/>
        <w:jc w:val="left"/>
        <w:rPr/>
      </w:pPr>
      <w:r>
        <w:rPr/>
      </w:r>
    </w:p>
    <w:tbl>
      <w:tblPr>
        <w:tblW w:w="7360" w:type="dxa"/>
        <w:jc w:val="left"/>
        <w:tblInd w:w="0" w:type="dxa"/>
        <w:tblLayout w:type="fixed"/>
        <w:tblCellMar>
          <w:top w:w="28" w:type="dxa"/>
          <w:left w:w="28" w:type="dxa"/>
          <w:bottom w:w="28" w:type="dxa"/>
          <w:right w:w="28" w:type="dxa"/>
        </w:tblCellMar>
      </w:tblPr>
      <w:tblGrid>
        <w:gridCol w:w="1264"/>
        <w:gridCol w:w="1112"/>
        <w:gridCol w:w="1118"/>
        <w:gridCol w:w="358"/>
        <w:gridCol w:w="1226"/>
        <w:gridCol w:w="185"/>
        <w:gridCol w:w="109"/>
        <w:gridCol w:w="109"/>
        <w:gridCol w:w="109"/>
        <w:gridCol w:w="344"/>
        <w:gridCol w:w="1175"/>
        <w:gridCol w:w="25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expected credit losses was as follows:</w:t>
      </w:r>
    </w:p>
    <w:p>
      <w:pPr>
        <w:pStyle w:val="TextBody"/>
        <w:bidi w:val="0"/>
        <w:spacing w:before="0" w:after="0"/>
        <w:jc w:val="left"/>
        <w:rPr/>
      </w:pPr>
      <w:r>
        <w:rPr/>
      </w:r>
    </w:p>
    <w:tbl>
      <w:tblPr>
        <w:tblW w:w="8260" w:type="dxa"/>
        <w:jc w:val="left"/>
        <w:tblInd w:w="0" w:type="dxa"/>
        <w:tblLayout w:type="fixed"/>
        <w:tblCellMar>
          <w:top w:w="28" w:type="dxa"/>
          <w:left w:w="28" w:type="dxa"/>
          <w:bottom w:w="28" w:type="dxa"/>
          <w:right w:w="28" w:type="dxa"/>
        </w:tblCellMar>
      </w:tblPr>
      <w:tblGrid>
        <w:gridCol w:w="1730"/>
        <w:gridCol w:w="1523"/>
        <w:gridCol w:w="1532"/>
        <w:gridCol w:w="287"/>
        <w:gridCol w:w="840"/>
        <w:gridCol w:w="148"/>
        <w:gridCol w:w="148"/>
        <w:gridCol w:w="148"/>
        <w:gridCol w:w="148"/>
        <w:gridCol w:w="287"/>
        <w:gridCol w:w="840"/>
        <w:gridCol w:w="148"/>
        <w:gridCol w:w="109"/>
        <w:gridCol w:w="109"/>
        <w:gridCol w:w="109"/>
        <w:gridCol w:w="154"/>
      </w:tblGrid>
      <w:tr>
        <w:trPr/>
        <w:tc>
          <w:tcPr>
            <w:tcW w:w="173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provision for expected credit losses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write-offs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p>
      <w:pPr>
        <w:pStyle w:val="TextBody"/>
        <w:bidi w:val="0"/>
        <w:spacing w:before="0" w:after="0"/>
        <w:jc w:val="left"/>
        <w:rPr/>
      </w:pPr>
      <w:r>
        <w:rPr/>
      </w:r>
    </w:p>
    <w:tbl>
      <w:tblPr>
        <w:tblW w:w="7316" w:type="dxa"/>
        <w:jc w:val="left"/>
        <w:tblInd w:w="0" w:type="dxa"/>
        <w:tblLayout w:type="fixed"/>
        <w:tblCellMar>
          <w:top w:w="28" w:type="dxa"/>
          <w:left w:w="28" w:type="dxa"/>
          <w:bottom w:w="28" w:type="dxa"/>
          <w:right w:w="28" w:type="dxa"/>
        </w:tblCellMar>
      </w:tblPr>
      <w:tblGrid>
        <w:gridCol w:w="1248"/>
        <w:gridCol w:w="1097"/>
        <w:gridCol w:w="1105"/>
        <w:gridCol w:w="358"/>
        <w:gridCol w:w="1226"/>
        <w:gridCol w:w="185"/>
        <w:gridCol w:w="109"/>
        <w:gridCol w:w="109"/>
        <w:gridCol w:w="109"/>
        <w:gridCol w:w="344"/>
        <w:gridCol w:w="1175"/>
        <w:gridCol w:w="251"/>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jc w:val="both"/>
        <w:rPr/>
      </w:pPr>
      <w:r>
        <w:rPr/>
      </w:r>
    </w:p>
    <w:tbl>
      <w:tblPr>
        <w:tblW w:w="6550" w:type="dxa"/>
        <w:jc w:val="left"/>
        <w:tblInd w:w="0" w:type="dxa"/>
        <w:tblLayout w:type="fixed"/>
        <w:tblCellMar>
          <w:top w:w="28" w:type="dxa"/>
          <w:left w:w="28" w:type="dxa"/>
          <w:bottom w:w="28" w:type="dxa"/>
          <w:right w:w="28" w:type="dxa"/>
        </w:tblCellMar>
      </w:tblPr>
      <w:tblGrid>
        <w:gridCol w:w="971"/>
        <w:gridCol w:w="855"/>
        <w:gridCol w:w="858"/>
        <w:gridCol w:w="326"/>
        <w:gridCol w:w="1276"/>
        <w:gridCol w:w="168"/>
        <w:gridCol w:w="109"/>
        <w:gridCol w:w="109"/>
        <w:gridCol w:w="109"/>
        <w:gridCol w:w="313"/>
        <w:gridCol w:w="1228"/>
        <w:gridCol w:w="228"/>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Automobiles</w:t>
            </w:r>
            <w:r>
              <w:rPr>
                <w:rFonts w:ascii="Times New Roman;sans-serif" w:hAnsi="Times New Roman;sans-serif"/>
                <w:b w:val="false"/>
                <w:color w:val="000000"/>
                <w:sz w:val="13"/>
              </w:rPr>
              <w:t>(1)</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Buildings</w:t>
            </w:r>
            <w:r>
              <w:rPr>
                <w:rFonts w:ascii="Times New Roman;sans-serif" w:hAnsi="Times New Roman;sans-serif"/>
                <w:b w:val="false"/>
                <w:color w:val="000000"/>
                <w:sz w:val="13"/>
              </w:rPr>
              <w:t>(2)</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The cost and accumulated depreciation of property and equipment related to finance leases was $32.4 million and $13.1 million at September 30, 2024 and $22.2 million and $10.3 million at December 31, 2023, which primarily relates to Automobiles. During the nine months ended September 30, 2024, the Company entered into finance leases for automobiles which mature in 4 to 6 years and have a weighted average discount rate of 6.6%. The total future minimum lease payments under finance leases as of September 30, 2024 is $31.5 million. As of September 30, 2024, the Company had additional automobile leases that had not yet commenced which totaled $16.2 million in future minimum lease payments.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The Company entered into a finance lease on September 30, 2024 for a new Atlanta, GA based distribution center which will commence during 2025 and totaled $15.8 million in future minimum lease payments over 10 years. </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$2.6 million and $2.4 million for the three months ended September 30, 2024 and 2023, respectively. Depreciation expense was $7.7 million and $7.3 million for the nine months ended September 30, 2024 and 2023, respectively. During the nine months ended September 30, 2023, the Company impaired machinery and recognized impairment expense of $1.2 million in distribution, selling and administrative expense in the condensed consolidated statements of operations and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investments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1"/>
        <w:gridCol w:w="1158"/>
        <w:gridCol w:w="1163"/>
        <w:gridCol w:w="839"/>
        <w:gridCol w:w="839"/>
        <w:gridCol w:w="842"/>
        <w:gridCol w:w="109"/>
        <w:gridCol w:w="109"/>
        <w:gridCol w:w="109"/>
        <w:gridCol w:w="378"/>
        <w:gridCol w:w="1111"/>
        <w:gridCol w:w="197"/>
        <w:gridCol w:w="109"/>
        <w:gridCol w:w="109"/>
        <w:gridCol w:w="109"/>
        <w:gridCol w:w="362"/>
        <w:gridCol w:w="1059"/>
        <w:gridCol w:w="272"/>
      </w:tblGrid>
      <w:tr>
        <w:trPr/>
        <w:tc>
          <w:tcPr>
            <w:tcW w:w="133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as of 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 ("Asahi")</w:t>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Tamron Akuatik Produk Industri ("Tamron")</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investment in Tamron is accounted for using the measurement alternative under Accounting Standards Codification (“ASC”) Topic 321 </w:t>
      </w:r>
      <w:r>
        <w:rPr>
          <w:rFonts w:ascii="Times New Roman;sans-serif" w:hAnsi="Times New Roman;sans-serif"/>
          <w:b w:val="false"/>
          <w:i/>
          <w:color w:val="000000"/>
          <w:sz w:val="20"/>
        </w:rPr>
        <w:t>Investments—Equity Securities</w:t>
      </w:r>
      <w:r>
        <w:rPr>
          <w:rFonts w:ascii="Times New Roman;sans-serif" w:hAnsi="Times New Roman;sans-serif"/>
          <w:b w:val="false"/>
          <w:color w:val="000000"/>
          <w:sz w:val="20"/>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as of September 30, 2024 for these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p>
      <w:pPr>
        <w:pStyle w:val="TextBody"/>
        <w:bidi w:val="0"/>
        <w:spacing w:before="0" w:after="0"/>
        <w:jc w:val="left"/>
        <w:rPr/>
      </w:pPr>
      <w:r>
        <w:rPr/>
      </w:r>
    </w:p>
    <w:tbl>
      <w:tblPr>
        <w:tblW w:w="7837" w:type="dxa"/>
        <w:jc w:val="left"/>
        <w:tblInd w:w="0" w:type="dxa"/>
        <w:tblLayout w:type="fixed"/>
        <w:tblCellMar>
          <w:top w:w="28" w:type="dxa"/>
          <w:left w:w="28" w:type="dxa"/>
          <w:bottom w:w="28" w:type="dxa"/>
          <w:right w:w="28" w:type="dxa"/>
        </w:tblCellMar>
      </w:tblPr>
      <w:tblGrid>
        <w:gridCol w:w="1319"/>
        <w:gridCol w:w="1160"/>
        <w:gridCol w:w="1165"/>
        <w:gridCol w:w="109"/>
        <w:gridCol w:w="109"/>
        <w:gridCol w:w="109"/>
        <w:gridCol w:w="358"/>
        <w:gridCol w:w="1226"/>
        <w:gridCol w:w="185"/>
        <w:gridCol w:w="109"/>
        <w:gridCol w:w="109"/>
        <w:gridCol w:w="109"/>
        <w:gridCol w:w="344"/>
        <w:gridCol w:w="1175"/>
        <w:gridCol w:w="251"/>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353" w:type="dxa"/>
        <w:jc w:val="left"/>
        <w:tblInd w:w="0" w:type="dxa"/>
        <w:tblLayout w:type="fixed"/>
        <w:tblCellMar>
          <w:top w:w="28" w:type="dxa"/>
          <w:left w:w="28" w:type="dxa"/>
          <w:bottom w:w="28" w:type="dxa"/>
          <w:right w:w="28" w:type="dxa"/>
        </w:tblCellMar>
      </w:tblPr>
      <w:tblGrid>
        <w:gridCol w:w="501"/>
        <w:gridCol w:w="229"/>
        <w:gridCol w:w="231"/>
        <w:gridCol w:w="211"/>
        <w:gridCol w:w="406"/>
        <w:gridCol w:w="109"/>
        <w:gridCol w:w="109"/>
        <w:gridCol w:w="109"/>
        <w:gridCol w:w="109"/>
        <w:gridCol w:w="211"/>
        <w:gridCol w:w="616"/>
        <w:gridCol w:w="109"/>
        <w:gridCol w:w="109"/>
        <w:gridCol w:w="109"/>
        <w:gridCol w:w="109"/>
        <w:gridCol w:w="270"/>
        <w:gridCol w:w="520"/>
        <w:gridCol w:w="141"/>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70"/>
        <w:gridCol w:w="520"/>
        <w:gridCol w:w="141"/>
        <w:gridCol w:w="109"/>
        <w:gridCol w:w="109"/>
        <w:gridCol w:w="109"/>
        <w:gridCol w:w="211"/>
        <w:gridCol w:w="61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the provisions of ASC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available at the measurement date.</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3 - Inputs are unobservable inputs which reflect the reporting entity’s own assumptions about what assumptions market participants would use in pricing the asset or liability based on the best available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7 - Derivative Financial Instruments</w:t>
      </w:r>
      <w:r>
        <w:rPr>
          <w:color w:val="000000"/>
        </w:rPr>
        <w:t xml:space="preserve"> </w:t>
      </w:r>
      <w:r>
        <w:rPr>
          <w:rFonts w:ascii="Times New Roman;sans-serif" w:hAnsi="Times New Roman;sans-serif"/>
          <w:b w:val="false"/>
          <w:color w:val="000000"/>
          <w:sz w:val="20"/>
        </w:rPr>
        <w:t xml:space="preserve">for additional information regarding the Company’s interest rate swaps.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Carrying Value and Estimated Fair Value of Outstanding Debt</w:t>
      </w:r>
      <w:r>
        <w:rPr>
          <w:color w:val="000000"/>
        </w:rPr>
        <w:t xml:space="preserve"> </w:t>
      </w:r>
      <w:r>
        <w:rPr>
          <w:rFonts w:ascii="Times New Roman;sans-serif" w:hAnsi="Times New Roman;sans-serif"/>
          <w:b w:val="false"/>
          <w:color w:val="000000"/>
          <w:sz w:val="20"/>
        </w:rPr>
        <w:t xml:space="preserve">- The following table presents the carrying value and estimated fair value of the Company’s outstanding debt as described in </w:t>
      </w:r>
      <w:r>
        <w:rPr>
          <w:rFonts w:ascii="Times New Roman;sans-serif" w:hAnsi="Times New Roman;sans-serif"/>
          <w:b w:val="false"/>
          <w:i/>
          <w:color w:val="000000"/>
          <w:sz w:val="20"/>
        </w:rPr>
        <w:t>Note 8 - Debt</w:t>
      </w:r>
      <w:r>
        <w:rPr>
          <w:rFonts w:ascii="Times New Roman;sans-serif" w:hAnsi="Times New Roman;sans-serif"/>
          <w:b w:val="false"/>
          <w:color w:val="000000"/>
          <w:sz w:val="20"/>
        </w:rPr>
        <w:t>, including the current portion, as of the dates indicated:</w:t>
      </w:r>
    </w:p>
    <w:p>
      <w:pPr>
        <w:pStyle w:val="TextBody"/>
        <w:bidi w:val="0"/>
        <w:spacing w:before="0" w:after="0"/>
        <w:jc w:val="both"/>
        <w:rPr/>
      </w:pPr>
      <w:r>
        <w:rPr/>
      </w:r>
    </w:p>
    <w:tbl>
      <w:tblPr>
        <w:tblW w:w="7758" w:type="dxa"/>
        <w:jc w:val="left"/>
        <w:tblInd w:w="0" w:type="dxa"/>
        <w:tblLayout w:type="fixed"/>
        <w:tblCellMar>
          <w:top w:w="28" w:type="dxa"/>
          <w:left w:w="28" w:type="dxa"/>
          <w:bottom w:w="28" w:type="dxa"/>
          <w:right w:w="28" w:type="dxa"/>
        </w:tblCellMar>
      </w:tblPr>
      <w:tblGrid>
        <w:gridCol w:w="792"/>
        <w:gridCol w:w="697"/>
        <w:gridCol w:w="701"/>
        <w:gridCol w:w="109"/>
        <w:gridCol w:w="109"/>
        <w:gridCol w:w="109"/>
        <w:gridCol w:w="213"/>
        <w:gridCol w:w="411"/>
        <w:gridCol w:w="110"/>
        <w:gridCol w:w="109"/>
        <w:gridCol w:w="109"/>
        <w:gridCol w:w="109"/>
        <w:gridCol w:w="211"/>
        <w:gridCol w:w="826"/>
        <w:gridCol w:w="109"/>
        <w:gridCol w:w="109"/>
        <w:gridCol w:w="109"/>
        <w:gridCol w:w="109"/>
        <w:gridCol w:w="211"/>
        <w:gridCol w:w="466"/>
        <w:gridCol w:w="109"/>
        <w:gridCol w:w="109"/>
        <w:gridCol w:w="109"/>
        <w:gridCol w:w="109"/>
        <w:gridCol w:w="265"/>
        <w:gridCol w:w="1038"/>
        <w:gridCol w:w="137"/>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8 - Debt</w:t>
      </w:r>
      <w:r>
        <w:rPr>
          <w:color w:val="000000"/>
        </w:rPr>
        <w:t xml:space="preserve"> </w:t>
      </w:r>
      <w:r>
        <w:rPr>
          <w:rFonts w:ascii="Times New Roman;sans-serif" w:hAnsi="Times New Roman;sans-serif"/>
          <w:b w:val="false"/>
          <w:color w:val="000000"/>
          <w:sz w:val="20"/>
        </w:rPr>
        <w:t>for additional information regarding the Company's debt.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fair value of certain assets on a nonrecurring basis when events or changes in circumstances indicate that the carrying value of the assets may not be recoverable. No adjustments to fair value from the write-down of asset values due to impairment were made during the three and nine months ended September 30, 2024 and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assets carried at nonrecurring fair value at September 30, 2024 and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Goodwill and 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only one reporting unit at September 30, 2024 and December, 31, 2023. The Company tests goodwill for impairment at least annually, as of December 31, or whenever events or changes in circumstances indicated goodwill might be impaired.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 quantitative goodwill impairment assessment as of December 31, 2023, as a result of the Company’s results of operations during 2023 compared to previous forecasts, combined with the level of the Company’s stock price. The fair value of the reporting unit was determined using an average of the income approach, comparable public company analysis, and comparable acquisitions analysis. The annual goodwill impairment test in 2023 resulted in an estimated fair value that exceeded carrying value by approximately 10% at December 31, 2023, and therefore, the Company concluded no impairment was required to be recorded during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concluded that a triggering event occurred due to a sustained decline in the Company’s stock price since December 31, 2023, which required interim testing for goodwill impairment in accordance with ASC 350. Accordingly, the Company performed a quantitative assessment as of September 30, 2024. The fair value of the reporting unit was determined using an average of the income approach, comparable public company analysis, and comparable acquisitions analysis. The fair value of the reporting unit exceeded the carrying value by approximately 1%, and therefore the Company concluded no impairment was required to be recorded during the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calculating the fair value of the reporting unit, the Company considered the resulting implied enterprise value control premium compared to recent control premiums paid in the industry, and also considered the lack of liquidity in its common stock. The Company’s common stock is fairly thinly traded, with a higher level of internal stockholders than its peers, and no major analyst coverage. As a result, the implied value from the traded stock price is based on limited investment public interest. The Company determined that the implied control premium was reasonable in light of these recent comparable transactions and considering the lack of liquidity in its common stock, which corroborates the Company’s fair value estimate.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critical assumptions in determining fair value using the income approach were projections of future cash flows such as forecasted revenue growth rates, gross profit margins, distribution, selling and administrative expense levels, and the discount rate. The market approaches were primarily impacted by an enterprise value multiple of EBITDA.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change in these assumptions or a further sustained decline in the Company’s stock price could result in potential goodwill impairment in the future, and such impairment could be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was $85.1 million as of September 30, 2024 and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intangible assets are as follows:</w:t>
      </w:r>
    </w:p>
    <w:p>
      <w:pPr>
        <w:pStyle w:val="TextBody"/>
        <w:bidi w:val="0"/>
        <w:spacing w:before="0" w:after="0"/>
        <w:jc w:val="both"/>
        <w:rPr/>
      </w:pPr>
      <w:r>
        <w:rPr/>
      </w:r>
    </w:p>
    <w:tbl>
      <w:tblPr>
        <w:tblW w:w="10599" w:type="dxa"/>
        <w:jc w:val="left"/>
        <w:tblInd w:w="0" w:type="dxa"/>
        <w:tblLayout w:type="fixed"/>
        <w:tblCellMar>
          <w:top w:w="28" w:type="dxa"/>
          <w:left w:w="28" w:type="dxa"/>
          <w:bottom w:w="28" w:type="dxa"/>
          <w:right w:w="28" w:type="dxa"/>
        </w:tblCellMar>
      </w:tblPr>
      <w:tblGrid>
        <w:gridCol w:w="548"/>
        <w:gridCol w:w="482"/>
        <w:gridCol w:w="486"/>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acquired intangible assets was $4.1 million for the three months ended September 30, 2024 and 2023. Amortization expense for acquired intangible assets was $12.2 million for the nine months ended September 30, 2024 and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utilizes interest rate swaps ("IRS") for the sole purpose of mitigating interest rate fluctuation risk associated with floating rate debt instruments (as defined in </w:t>
      </w:r>
      <w:r>
        <w:rPr>
          <w:rFonts w:ascii="Times New Roman;sans-serif" w:hAnsi="Times New Roman;sans-serif"/>
          <w:b w:val="false"/>
          <w:i/>
          <w:color w:val="000000"/>
          <w:sz w:val="20"/>
        </w:rPr>
        <w:t>Note 8 - Debt</w:t>
      </w:r>
      <w:r>
        <w:rPr>
          <w:rFonts w:ascii="Times New Roman;sans-serif" w:hAnsi="Times New Roman;sans-serif"/>
          <w:b w:val="false"/>
          <w:color w:val="000000"/>
          <w:sz w:val="20"/>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determined that the fair values of the IRS contracts were $0.3 million in an asset position and $2.5 million in a liability position. As of December 31, 2023, the fair values of the IRS contracts were $0.4 million in an asset position and $1.6 million in a liability position. The Company includes these in other long-term assets and other long-term liabilities, respectively, on the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at September 30, 2024 and December 31, 2023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6"/>
        <w:gridCol w:w="551"/>
        <w:gridCol w:w="555"/>
        <w:gridCol w:w="109"/>
        <w:gridCol w:w="109"/>
        <w:gridCol w:w="109"/>
        <w:gridCol w:w="642"/>
        <w:gridCol w:w="621"/>
        <w:gridCol w:w="629"/>
        <w:gridCol w:w="109"/>
        <w:gridCol w:w="109"/>
        <w:gridCol w:w="109"/>
        <w:gridCol w:w="749"/>
        <w:gridCol w:w="749"/>
        <w:gridCol w:w="751"/>
        <w:gridCol w:w="109"/>
        <w:gridCol w:w="109"/>
        <w:gridCol w:w="109"/>
        <w:gridCol w:w="271"/>
        <w:gridCol w:w="1062"/>
        <w:gridCol w:w="140"/>
        <w:gridCol w:w="109"/>
        <w:gridCol w:w="109"/>
        <w:gridCol w:w="109"/>
        <w:gridCol w:w="264"/>
        <w:gridCol w:w="1037"/>
        <w:gridCol w:w="200"/>
      </w:tblGrid>
      <w:tr>
        <w:trPr/>
        <w:tc>
          <w:tcPr>
            <w:tcW w:w="67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at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Bank of America </w:t>
            </w: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4.34% - 7.95%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East West Bank </w:t>
            </w: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7.46% - 8.50%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JPMorgan Chase </w:t>
            </w: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finance institutions </w:t>
            </w: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104,658 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108,711 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 xml:space="preserve">(a)Loan balance consists of real estate term loan and equipment term loan, collateralized by one real property and specific equipment. </w:t>
      </w:r>
      <w:r>
        <w:rPr>
          <w:rFonts w:ascii="Times New Roman;sans-serif" w:hAnsi="Times New Roman;sans-serif"/>
          <w:b w:val="false"/>
          <w:color w:val="000000"/>
          <w:sz w:val="16"/>
        </w:rPr>
        <w:t xml:space="preserve">The real estate term loan is pegged to TERM SOFR + 2.5%. </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(b)</w:t>
      </w:r>
      <w:r>
        <w:rPr>
          <w:rFonts w:ascii="Times New Roman;sans-serif" w:hAnsi="Times New Roman;sans-serif"/>
          <w:b w:val="false"/>
          <w:color w:val="000000"/>
          <w:sz w:val="16"/>
        </w:rPr>
        <w:t>Real estate term loans with East West Bank are collateralized by three real properties. Balloon payments of $2.2 million and $3.4 million are due at maturity in 2027 and 2029,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(c)Real estate term loan with a principal balance of $102.5 million as of September 30, 2024 and $106.3 million as of December 31, 2023 is secured by assets held by the Company and has a maturity date of January 2030.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(d)Secured by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various loan agreements related to long-term bank borrowings require the Company to comply with certain financial covenants, including, but not limited to, a fixed charge coverage ratio and effective tangible net worth. As of September 30, 2024, the Company was in compliance with its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balance on the line of credit as of September 30, 2024 was $66.9 million and outstanding letters of credit amounted to $5.8 million leaving access to approximately $27.3 million in additional funds through our $100.0 million line of credit, subject to a borrowing base calculation.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Company amended the $100.0 million asset-secured revolving credit facility agreement with JPMorgan Chase (the “JPM Credit Agreement”), extending it for five years, with a maturity date of November 4, 2027. On February 6, 2024, the Company amended the JPM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JPM Credit Agreement and; (iii) remove certain sublease income from various financial covenants. On July 15, 2024, the Company again amended the JPM Credit Agreement to (i) increase the issuing bank sublimit to $10.0 million and; (ii) modify the due date for a borrowing base certificate based on availability under the revolving credit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Earnings (Loss)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computes earnings per share (“EPS”) in accordance with ASC Topic 260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601,719 and 1,102,972 potential common shares related to performance-based restricted stock units and restricted stock units that were excluded from the calculation of diluted EPS for the three months ended September 30, 2024 and 2023, respectively, because their effect could have been anti-dilutive. There were 1,542,412 and 797,860 potential common shares related to performance-based restricted stock units and restricted stock units that were excluded from the calculation of diluted EPS for the nine months ended September 30, 2024 and 2023, respectively, because their effect could have been anti-dilutive.</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w:t>
      </w:r>
    </w:p>
    <w:tbl>
      <w:tblPr>
        <w:tblW w:w="10205" w:type="dxa"/>
        <w:jc w:val="left"/>
        <w:tblInd w:w="0" w:type="dxa"/>
        <w:tblLayout w:type="fixed"/>
        <w:tblCellMar>
          <w:top w:w="28" w:type="dxa"/>
          <w:left w:w="28" w:type="dxa"/>
          <w:bottom w:w="28" w:type="dxa"/>
          <w:right w:w="28" w:type="dxa"/>
        </w:tblCellMar>
      </w:tblPr>
      <w:tblGrid>
        <w:gridCol w:w="1382"/>
        <w:gridCol w:w="1018"/>
        <w:gridCol w:w="1025"/>
        <w:gridCol w:w="109"/>
        <w:gridCol w:w="109"/>
        <w:gridCol w:w="109"/>
        <w:gridCol w:w="289"/>
        <w:gridCol w:w="891"/>
        <w:gridCol w:w="134"/>
        <w:gridCol w:w="134"/>
        <w:gridCol w:w="134"/>
        <w:gridCol w:w="134"/>
        <w:gridCol w:w="289"/>
        <w:gridCol w:w="825"/>
        <w:gridCol w:w="134"/>
        <w:gridCol w:w="109"/>
        <w:gridCol w:w="109"/>
        <w:gridCol w:w="109"/>
        <w:gridCol w:w="269"/>
        <w:gridCol w:w="856"/>
        <w:gridCol w:w="128"/>
        <w:gridCol w:w="128"/>
        <w:gridCol w:w="128"/>
        <w:gridCol w:w="128"/>
        <w:gridCol w:w="269"/>
        <w:gridCol w:w="856"/>
        <w:gridCol w:w="128"/>
        <w:gridCol w:w="109"/>
        <w:gridCol w:w="163"/>
      </w:tblGrid>
      <w:tr>
        <w:trPr/>
        <w:tc>
          <w:tcPr>
            <w:tcW w:w="138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HF Foods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52,726,683 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54,142,396 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52,490,321 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54,005,010 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52,726,683 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54,513,314 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52,490,321 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54,005,010 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September 30, 2024, the Company had no subsidiaries outside the U.S., as such, no foreign income tax was recorded.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Company's effective income tax rate of 24.6% and (4.1)%, respectively, differed from the federal statutory tax rate primarily as a result of permanent differences and state income taxes. The Company’s tax provision for the nine months ended September 30, 2024 includes a discrete tax expense of $1.0 million related to the Company’s SEC settlement. Additionally, the Company’s tax provision for the three and nine months ended September 30, 2024 includes a discrete tax expense of $0.1 million and $0.2 million, respectively, related to stock-based compensation shortfalls. For the three and nine months ended September 30, 2023, the Company's effective income tax rate of (1.9)% and 27.6%, respectively, differed from the federal statutory tax rate primarily as a result of permanent differences and state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Mr. Xiao Mou Zhang (“Mr. Zhang”), the Chief Executive Officer through October 24, 2024 and current member of the Board of Directors of the Company (see </w:t>
      </w:r>
      <w:r>
        <w:rPr>
          <w:rFonts w:ascii="Times New Roman;sans-serif" w:hAnsi="Times New Roman;sans-serif"/>
          <w:b w:val="false"/>
          <w:i/>
          <w:color w:val="000000"/>
          <w:sz w:val="20"/>
        </w:rPr>
        <w:t>Note 14 - Subsequent Events</w:t>
      </w:r>
      <w:r>
        <w:rPr>
          <w:color w:val="000000"/>
        </w:rPr>
        <w:t xml:space="preserve"> </w:t>
      </w:r>
      <w:r>
        <w:rPr>
          <w:rFonts w:ascii="Times New Roman;sans-serif" w:hAnsi="Times New Roman;sans-serif"/>
          <w:b w:val="false"/>
          <w:color w:val="000000"/>
          <w:sz w:val="20"/>
        </w:rPr>
        <w:t>to the condensed consolidated financial statements in this Quarterly Report on Form 10-Q for additional information), and certain of his immediate family members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related party transactions as of September 30, 2024 and December 31, 2023 and for the three and nine months ended September 30, 2024 and 2023 are identified as follows: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purchases of goods and services from related parties recorded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124"/>
        <w:gridCol w:w="109"/>
        <w:gridCol w:w="109"/>
        <w:gridCol w:w="964"/>
        <w:gridCol w:w="964"/>
        <w:gridCol w:w="968"/>
        <w:gridCol w:w="109"/>
        <w:gridCol w:w="109"/>
        <w:gridCol w:w="109"/>
        <w:gridCol w:w="230"/>
        <w:gridCol w:w="230"/>
        <w:gridCol w:w="231"/>
        <w:gridCol w:w="109"/>
        <w:gridCol w:w="109"/>
        <w:gridCol w:w="109"/>
        <w:gridCol w:w="243"/>
        <w:gridCol w:w="711"/>
        <w:gridCol w:w="125"/>
        <w:gridCol w:w="125"/>
        <w:gridCol w:w="125"/>
        <w:gridCol w:w="125"/>
        <w:gridCol w:w="243"/>
        <w:gridCol w:w="711"/>
        <w:gridCol w:w="125"/>
        <w:gridCol w:w="109"/>
        <w:gridCol w:w="109"/>
        <w:gridCol w:w="109"/>
        <w:gridCol w:w="239"/>
        <w:gridCol w:w="698"/>
        <w:gridCol w:w="123"/>
        <w:gridCol w:w="123"/>
        <w:gridCol w:w="123"/>
        <w:gridCol w:w="123"/>
        <w:gridCol w:w="239"/>
        <w:gridCol w:w="698"/>
        <w:gridCol w:w="123"/>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“GA-GW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Rainfield Ranches,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The Company, through its subsidiary Mountain Food, LLC, owns an equity interest in this entity.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(b)An equity interest is held by three Irrevocable Trusts for the benefit of Mr. Zhang's children.</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Mr. Zhou Min Ni owns an equity interest in this entity. Enson Seafood GA, Inc. is no longer considered a related party as of January 1, 2024 since Mr. Zhou Min Ni disposed his equity interest in this entity.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sales to related parties recorded for the three and nine months ended September 30, 2024 and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77"/>
        <w:gridCol w:w="1242"/>
        <w:gridCol w:w="1248"/>
        <w:gridCol w:w="109"/>
        <w:gridCol w:w="109"/>
        <w:gridCol w:w="109"/>
        <w:gridCol w:w="283"/>
        <w:gridCol w:w="626"/>
        <w:gridCol w:w="146"/>
        <w:gridCol w:w="146"/>
        <w:gridCol w:w="146"/>
        <w:gridCol w:w="146"/>
        <w:gridCol w:w="283"/>
        <w:gridCol w:w="626"/>
        <w:gridCol w:w="146"/>
        <w:gridCol w:w="109"/>
        <w:gridCol w:w="109"/>
        <w:gridCol w:w="109"/>
        <w:gridCol w:w="251"/>
        <w:gridCol w:w="735"/>
        <w:gridCol w:w="129"/>
        <w:gridCol w:w="129"/>
        <w:gridCol w:w="129"/>
        <w:gridCol w:w="129"/>
        <w:gridCol w:w="251"/>
        <w:gridCol w:w="735"/>
        <w:gridCol w:w="129"/>
        <w:gridCol w:w="10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277"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N&amp;F Logistics,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Tina Ni, one of Mr. Zhou Min Ni’s family members, owns an equity interest in this entity indirectly through its parent company.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(d)Mr. Zhou Min Ni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Zhou Min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(f)Tina Ni, one of Mr. Zhou Min Ni’s family members, owns an equity interest in this entity.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various facilities to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which is included in distribution, selling and administrative expenses in the condensed consolidated statements of operations and comprehensive income (loss), was $0.1 million and $0.1 million for the three months ended September 30, 2024 and 2023, respectively and $0.2 million and $0.3 million for the nine months ended September 30, 2024 and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Rental income was $0.04 million and $0.04 million for the three months ended September 30, 2024 and 2023, respectively and $0.1 million and $0.1 million for the nine months ended September 30, 2024 and 2023, respectively. Rental income is included in other income in the condensed consolidated statements of operations and comprehensive income (loss).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accounts receivable with related parties recorded as of September 30, 2024 and December 31, 2023,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33"/>
        <w:gridCol w:w="1933"/>
        <w:gridCol w:w="1941"/>
        <w:gridCol w:w="109"/>
        <w:gridCol w:w="109"/>
        <w:gridCol w:w="109"/>
        <w:gridCol w:w="456"/>
        <w:gridCol w:w="1007"/>
        <w:gridCol w:w="236"/>
        <w:gridCol w:w="109"/>
        <w:gridCol w:w="109"/>
        <w:gridCol w:w="109"/>
        <w:gridCol w:w="430"/>
        <w:gridCol w:w="952"/>
        <w:gridCol w:w="3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Conexus Food Solutions LLC (formerly known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known as GA-GW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No longer considered a related party as of January 1, 2024 since Mr. Zhou Min Ni disposed his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(d)Mr. Zhou Min Ni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(e)Tina Ni, one of Mr. Zhou Min Ni’s family members, owns an equity interest in this entity.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for 100% of the accounts receivable due from Enson Seafood GA, Inc. as of December 31, 2023. During the nine months ended September 30, 2024 it was determined that Enson Seafood GA, Inc. is no longer a related party due to Mr. Ni having sold all of his equity interest to a third party. All other accounts receivable from these related parties are current and considered fully collectible. No additional allowance is deemed necessary as of September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accounts payable to related parties are payable upon demand without interest. Below is a summary of accounts payable with related parties recorded as of September 30, 2024 and December 31, 2023,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30"/>
        <w:gridCol w:w="1930"/>
        <w:gridCol w:w="1939"/>
        <w:gridCol w:w="109"/>
        <w:gridCol w:w="109"/>
        <w:gridCol w:w="109"/>
        <w:gridCol w:w="526"/>
        <w:gridCol w:w="903"/>
        <w:gridCol w:w="274"/>
        <w:gridCol w:w="109"/>
        <w:gridCol w:w="109"/>
        <w:gridCol w:w="109"/>
        <w:gridCol w:w="431"/>
        <w:gridCol w:w="955"/>
        <w:gridCol w:w="3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before="0" w:after="0"/>
        <w:ind w:left="0" w:right="0" w:hanging="1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began issuing awards under the HF Foods Group Inc. 2018 Omnibus Equity Incentive Plan (the “2018 Incentive Plan”), which reserves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As of September 30, 2024, the Company had 878,890 time-based vesting restricted stock units unvested, 843,588 performance-based restricted stock units unvested, 1,169,116 shares of common stock vested and 4,108,406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$0.7 million and $0.8 million for the three months ended September 30, 2024 and 2023, respectively. Stock-based compensation expense was $2.0 million and $2.6 million for the nine months ended September 30, 2024 and 2023, respectively. Stock-based compensation expense was included in distribution, selling and administrative expenses in the Company's condensed consolidated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$5.2 million of total unrecognized compensation cost related to all non-vested outstanding RSUs and PSUs outstanding under the 2018 Incentive Plan, with a weighted average remaining service period of 2.12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2024, the SEC announced that it had accepted an Offer of Settlement submitted by the Company in order to resolve the previously disclosed formal, non-public SEC investigation of allegations that the Company and certain of its current and former directors and officers violated the Securities Exchange Act of 1934 and Rule 10b-5 promulgated thereunder by making allegedly false and misleading statements. Under the settlement, without admitting or denying the SEC’s findings in this matter, the Company consented to the entry of an administrative civil cease-and-desist order by the SEC (the “Order”) with respect to violations of Sections 17(a) of the Securities Act, and of Sections 10(b), 13(a), 13(b)(2)(A), 13(b)(2)(B), and 14(a) of the Securities Exchange Act of 1934, as amended, and Rules 10b-5, 12b-20, 13a-1, 13a-11, 13a-13, 13a-15(a), and 14a-9 thereunder, resulting from the materially false and misleading disclosures and other fraudulent conduct implemented by its former Chairman and CEO Zhou Min Ni and former CFO Jian Ming “Jonathan” Ni. During the quarter ended June 30, 2024 the Company agreed to and paid a civil monetary penalty of $3.9 million, which was recorded in other income (expense), net in the Company’s condensed consolidated statements of operations and comprehensive income (loss).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Order states that, in determining to accept the Company’s Offer of Settlement, the SEC considered the numerous remedial actions promptly undertaken by the Company and its cooperation during the investigation. The Company’s resolution follows charges brought by the SEC against the two former executives in a District Court action filed on June 3, 2024. As a result of the SEC’s district court complaint against them, the two former executives agreed to pay civil fines and disgorgement, and agreed to be subject to officer and director bars. Zhou Min Ni also agreed to a conduct-based injunction which enjoins him from directly or indirectly participating in the management of, or otherwise exercising any control of influence over the Company. The Special Litigation Committee of the Board of Directors previously obtained a monetary settlement from the former executives that was ratified by the Delaware Chancery Court.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AnHeart Lease Guarantee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provided a guarantee for two separate leases for two properties located in Manhattan, New York, at 273 Fifth Avenue and 275 Fifth Avenue, for 30 years and 15 years, respectively. The Company previously determined that AnHeart was a VIE as a result of the guarantee. However, the Company concluded it was not the primary beneficiary of AnHeart and therefore did not consolidate, because it did not have the power to direct the activities of AnHeart that most significantly impact AnHeart's economic performance. During the quarter ended June 30, 2024, the Company assumed the lease for 275 Fifth Avenue and no longer recognized AnHeart as a VIE. As a result of the lease assumption, the lease guarantee liability of $5.4 million was reversed and an operating lease right-of-use asset and liability of $4.9 million was recorded on the condensed consolidated balance sheets. As a result of the reversal, a gain of $5.4 million was recorded to other expense (income), net on the condensed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 In March 2024, the Company began construction of a multi-use facility on 273 Fifth Avenue and committed $7.0 million for the completion of the construction project. The Company incurred $3.8 million in construction costs which was recorded in construction in progress within property and equipment, net in the Company’s condensed consolidated balance sheet as of September 30, 2024. The Company expects to complete construction in June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(the “2023 Action”). As of the filing of the new summons and complaint, AnHeart and Minsheng are indebted to the Company in the amount of $474,000. AnHeart and the Company have since reached a settlement agreement (the “Settlement Agreement”) for AnHeart to pay the Company $40,000 a month in rent through December 2024 and commence regular monthly rental payments in accordance with the lease for 275 Fifth Avenue. The Settlement Agreement also provides that AnHeart will pay twenty-four monthly installments of $11,250 from January 2025 through December 2026 as payment for all back rent due.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30, 2024, the Company through its subsidiary assumed the lease of a building located on the premises of 275 Fifth Avenue, New York, New York. The Company was the guarantor of this lease under a lease guarantee agreement dated July 2018, and in February 2022, upon receiving notice of default, the Company undertook its lease guarantee obligations. The assumption of the lease had no impact on the Company’s obligations as guarantor.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lease covers certain portions of the ground floor, lower lever, and second floor of the building. The lease term ends on April 30, 2034 and is renewable at the option of the Company for up to two additional five-year terms. The Company shall pay rent of approximately $45,000 per month with provisions for yearly increases.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2024, the Company entered into the lease of a new distribution center located on the premises of 4795 Innovative Way, Powder Springs, Georgia. The lease term commences February 1, 2025 for a period of 10 years and five months and is renewable at the option of the Company for up to three additional five-year terms. The company shall pay rent of approximately $120,000 per month with provisions for yearly increases.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Subsequent Events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Termination of Xiao Mou (Peter) Zhang as Chief Executive Officer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2024, the Board of Directors (the “Board”) of the Company terminated Xiao Mou (Peter) Zhang as Chief Executive Officer of the Company, without cause, effective as of October 24, 2024.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Appointment of Xi (Felix) Lin as Interim Chief Executive Officer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2024, Xi (Felix) Lin was appointed to serve as Interim Chief Executive Officer, effective as of October 24, 2024. Mr. Lin continues to serve as the Company’s Chief Operating Officer and President.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 AND RISK FACTOR SUMMARY</w:t>
      </w:r>
    </w:p>
    <w:p>
      <w:pPr>
        <w:pStyle w:val="TextBody"/>
        <w:bidi w:val="0"/>
        <w:spacing w:before="0" w:after="0"/>
        <w:jc w:val="left"/>
        <w:rPr/>
      </w:pPr>
      <w:r>
        <w:rPr/>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HF Foods Group Inc. (“HF Foods”, the “Company,” “we,” “us,” or “our”) contains certain statements that are, or may deemed to be, “forward-looking statements” within the meaning of Section 27A of the Securities Act of 1933, as amended, and Section 21E of the Securities Exchange Act of 1934, as amended, regarding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Low margins in the foodservice distribution industry and periods of significant or prolonged inflation or deflation;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Qualified labor shortages;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macroeconomic conditions in the United States;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foodservice distribution industry particularly the entry of new competitors into the Chinese/Asian restaurant supply market niche;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fuel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vendors and increases in product prices;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Dependency on the timely delivery of products from vendors, particularly the prolonged diminution of global supply chains;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effects of the COVID-19 pandemic or other pandemics;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steps taken by the governments where our suppliers are located, including the People’s Republic of China, to address the COVID-19 pandemic or other pandemics;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or loss of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consumer eating and dining out habits;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Related party transactions and possible conflicts of interests;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Related parties and variable interest entities consolidation;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renew or replace our current warehouse leases on favorable terms, or terminations prior to expiration of stated terms;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retain our senior management and other key personnel, particularly our interim CEO, President and COO, CFO and General Counsel and CCO;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train and retain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enforcement of immigration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various federal, state and local rules and regulations regarding food safety, sanitation, transportation, minimum wage, overtime and other health and safety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recalls, voluntary recalls or withdrawals if any of the products we distribute are alleged to have caused illness, been mislabeled, misbranded or adulterated or to otherwise have violated applicable government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Costs to comply with environmental laws and regulations;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Litigation, regulatory investigations and potential enforcement actions;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commodity prices;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government tariffs on products imported into the United States, particularly from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Severe weather, natural disasters and adverse climate change;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geopolitical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cyber security incident, other technology disruption or delay in implementing our information technology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Current indebtedness affecting our liquidity and ability of future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acquire other distributors or wholesalers and enlarge our customer base;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Scarcity of and competition for acquisition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acquisition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non-cash charges relating to the amortization of intangible assets related to material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acquisition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debt in order to successfully implement our acquisition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integrating operations, personnel, and assets of acquired businesses that may disrupt our business, dilute stockholder value, and adversely affect our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on the price and demand for our common stock resulting from the relative illiquidity of the market for our common stock;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stockholders’ ability to significantly influence the Company;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state anti-takeover laws and related provisions in our governance documents.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Item 1A. Risk Factors in our Annual Report on Form 10-K for the year ended December 31, 2023, filed with the SEC.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aim to supply the increasing demand for Asian American restaurant cuisine, leveraging our nationwide network of distribution centers and our strong relations with growers and suppliers of fresh, high-quality specialty restaurant food products and supplies in the US, South America, and China. Capitalizing on our deep understanding of the Chinese culture, we have become a trusted partner serving Asian restaurants and other foodservice customers throughout the United States, providing sales and service support to customers who mainly converse in Mandarin or other Chinese dialects. We are dedicated to serving the vast array of Asian restaurants in need of high-quality and specialized food ingredients at competitive prices.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Transformation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position the business for long-term success, we have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Centralized Purchasing: </w:t>
      </w:r>
      <w:r>
        <w:rPr>
          <w:rFonts w:ascii="Times New Roman;sans-serif" w:hAnsi="Times New Roman;sans-serif"/>
          <w:b w:val="false"/>
          <w:color w:val="000000"/>
          <w:sz w:val="20"/>
        </w:rPr>
        <w:t>We began the roll out of our centralized purchasing program with seafood products and have yielded positive results with respect to margin expansion for the product category. We are now focusing on expanding the program to other categories.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Fleet and Transportation: </w:t>
      </w:r>
      <w:r>
        <w:rPr>
          <w:rFonts w:ascii="Times New Roman;sans-serif" w:hAnsi="Times New Roman;sans-serif"/>
          <w:b w:val="false"/>
          <w:color w:val="000000"/>
          <w:sz w:val="20"/>
        </w:rPr>
        <w:t>We have established a national fleet maintenance program. Within this, we have defined new truck specifications, initiated a replacement program for 50% of our current fleet, implemented a national fuel savings program to maximize efficiency, and plan to outsource domestic inbound freight logistics to a third-party partner to adopt a cohesive national approach to our supply chain. This is expected to deliver substantial improvements to our transportation system.</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Digital Transformation: </w:t>
      </w:r>
      <w:r>
        <w:rPr>
          <w:rFonts w:ascii="Times New Roman;sans-serif" w:hAnsi="Times New Roman;sans-serif"/>
          <w:b w:val="false"/>
          <w:color w:val="000000"/>
          <w:sz w:val="20"/>
        </w:rPr>
        <w:t>We will be implementing a modern ERP solution across all of our distribution centers. This is expected to deliver enhanced operational efficiency and responsiveness, streamlined processes, and greater data driven decision-making.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Facility Upgrades: </w:t>
      </w:r>
      <w:r>
        <w:rPr>
          <w:rFonts w:ascii="Times New Roman;sans-serif" w:hAnsi="Times New Roman;sans-serif"/>
          <w:b w:val="false"/>
          <w:color w:val="000000"/>
          <w:sz w:val="20"/>
        </w:rPr>
        <w:t xml:space="preserve">We will be reorganizing and upgrading our facilities and distribution centers to efficiently streamline costs, and to capitalize on cross-selling opportunities with both new and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Overview</w:t>
      </w:r>
    </w:p>
    <w:tbl>
      <w:tblPr>
        <w:tblW w:w="10205" w:type="dxa"/>
        <w:jc w:val="left"/>
        <w:tblInd w:w="0" w:type="dxa"/>
        <w:tblLayout w:type="fixed"/>
        <w:tblCellMar>
          <w:top w:w="28" w:type="dxa"/>
          <w:left w:w="28" w:type="dxa"/>
          <w:bottom w:w="28" w:type="dxa"/>
          <w:right w:w="28" w:type="dxa"/>
        </w:tblCellMar>
      </w:tblPr>
      <w:tblGrid>
        <w:gridCol w:w="414"/>
        <w:gridCol w:w="364"/>
        <w:gridCol w:w="366"/>
        <w:gridCol w:w="214"/>
        <w:gridCol w:w="807"/>
        <w:gridCol w:w="119"/>
        <w:gridCol w:w="119"/>
        <w:gridCol w:w="119"/>
        <w:gridCol w:w="119"/>
        <w:gridCol w:w="214"/>
        <w:gridCol w:w="807"/>
        <w:gridCol w:w="119"/>
        <w:gridCol w:w="109"/>
        <w:gridCol w:w="109"/>
        <w:gridCol w:w="109"/>
        <w:gridCol w:w="196"/>
        <w:gridCol w:w="646"/>
        <w:gridCol w:w="109"/>
        <w:gridCol w:w="109"/>
        <w:gridCol w:w="156"/>
        <w:gridCol w:w="156"/>
        <w:gridCol w:w="156"/>
        <w:gridCol w:w="156"/>
        <w:gridCol w:w="281"/>
        <w:gridCol w:w="1056"/>
        <w:gridCol w:w="156"/>
        <w:gridCol w:w="109"/>
        <w:gridCol w:w="109"/>
        <w:gridCol w:w="109"/>
        <w:gridCol w:w="196"/>
        <w:gridCol w:w="736"/>
        <w:gridCol w:w="109"/>
        <w:gridCol w:w="109"/>
        <w:gridCol w:w="109"/>
        <w:gridCol w:w="109"/>
        <w:gridCol w:w="196"/>
        <w:gridCol w:w="646"/>
        <w:gridCol w:w="109"/>
        <w:gridCol w:w="109"/>
        <w:gridCol w:w="165"/>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8"/>
            <w:tcBorders/>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in thousands)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896,385 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our non-GAAP financial measures, EBITDA and Adjusted EBITDA, see the section entitled “EBITDA and Adjusted EBITDA”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How to Assess HF Foods’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pStyle w:val="TextBody"/>
        <w:bidi w:val="0"/>
        <w:spacing w:before="0" w:after="0"/>
        <w:jc w:val="both"/>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excludes certain tax payments that may represent a reduction in cash available;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does not reflect any cash capital expenditure requirements for the assets being depreciated and amortized that may have to be replaced in the future;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changes in, or cash requirements for, our working capital needs;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additional information on EBITDA and Adjusted EBITDA and a reconciliation to their most directly comparable U.S. GAAP financial measures, see “</w:t>
      </w:r>
      <w:r>
        <w:rPr>
          <w:rFonts w:ascii="Times New Roman;sans-serif" w:hAnsi="Times New Roman;sans-serif"/>
          <w:b w:val="false"/>
          <w:i/>
          <w:color w:val="000000"/>
          <w:sz w:val="20"/>
        </w:rPr>
        <w:t>Results of Operations — EBITDA and Adjusted EBITDA</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Three Months Ended September 30, 2024 to Three Months Ended September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three months ended September 30, 2024</w:t>
      </w:r>
      <w:r>
        <w:rPr>
          <w:color w:val="000000"/>
        </w:rPr>
        <w:t xml:space="preserve"> </w:t>
      </w:r>
      <w:r>
        <w:rPr>
          <w:rFonts w:ascii="Times New Roman;sans-serif" w:hAnsi="Times New Roman;sans-serif"/>
          <w:b w:val="false"/>
          <w:color w:val="000000"/>
          <w:sz w:val="20"/>
        </w:rPr>
        <w:t>and 2023</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082"/>
        <w:gridCol w:w="1818"/>
        <w:gridCol w:w="1794"/>
        <w:gridCol w:w="240"/>
        <w:gridCol w:w="943"/>
        <w:gridCol w:w="123"/>
        <w:gridCol w:w="123"/>
        <w:gridCol w:w="123"/>
        <w:gridCol w:w="123"/>
        <w:gridCol w:w="240"/>
        <w:gridCol w:w="943"/>
        <w:gridCol w:w="123"/>
        <w:gridCol w:w="109"/>
        <w:gridCol w:w="109"/>
        <w:gridCol w:w="109"/>
        <w:gridCol w:w="211"/>
        <w:gridCol w:w="721"/>
        <w:gridCol w:w="109"/>
        <w:gridCol w:w="162"/>
      </w:tblGrid>
      <w:tr>
        <w:trPr/>
        <w:tc>
          <w:tcPr>
            <w:tcW w:w="20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298,389 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2496"/>
        <w:gridCol w:w="2198"/>
        <w:gridCol w:w="2201"/>
        <w:gridCol w:w="352"/>
        <w:gridCol w:w="264"/>
        <w:gridCol w:w="616"/>
        <w:gridCol w:w="247"/>
        <w:gridCol w:w="247"/>
        <w:gridCol w:w="247"/>
        <w:gridCol w:w="352"/>
        <w:gridCol w:w="264"/>
        <w:gridCol w:w="721"/>
      </w:tblGrid>
      <w:tr>
        <w:trPr/>
        <w:tc>
          <w:tcPr>
            <w:tcW w:w="249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three months ended September 30, 2024 increased by $16.9 million, or 6.0%, compared to the same period in 2023. </w:t>
      </w:r>
      <w:r>
        <w:rPr>
          <w:rFonts w:ascii="Times New Roman;sans-serif" w:hAnsi="Times New Roman;sans-serif"/>
          <w:b w:val="false"/>
          <w:color w:val="000000"/>
          <w:sz w:val="20"/>
        </w:rPr>
        <w:t>This increase was primarily attributable to product cost inflation and volume increases which improved pricing in certain categories, such as chicken and seafood, partially offset by deflation in commodities, such as cooking oils, and the $2.7 million loss in revenue resulting from the exit of our chicken processing businesses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Gross profit was $50.2 million for </w:t>
      </w:r>
      <w:r>
        <w:rPr>
          <w:rFonts w:ascii="Times New Roman;sans-serif" w:hAnsi="Times New Roman;sans-serif"/>
          <w:b w:val="false"/>
          <w:color w:val="000000"/>
          <w:sz w:val="20"/>
          <w:shd w:fill="FFFFFF" w:val="clear"/>
        </w:rPr>
        <w:t>three months ended September 30, 2024</w:t>
      </w:r>
      <w:r>
        <w:rPr>
          <w:color w:val="000000"/>
        </w:rPr>
        <w:t xml:space="preserve"> </w:t>
      </w:r>
      <w:r>
        <w:rPr>
          <w:rFonts w:ascii="Times New Roman;sans-serif" w:hAnsi="Times New Roman;sans-serif"/>
          <w:b w:val="false"/>
          <w:color w:val="000000"/>
          <w:sz w:val="20"/>
        </w:rPr>
        <w:t xml:space="preserve">compared to $50.9 million in the same period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a decrease of $0.8 million, or 1.5%. The decrease was primarily attributable to a decrease in margins on meat and poultry during the quarter. Gross profit margin for the </w:t>
      </w:r>
      <w:r>
        <w:rPr>
          <w:rFonts w:ascii="Times New Roman;sans-serif" w:hAnsi="Times New Roman;sans-serif"/>
          <w:b w:val="false"/>
          <w:color w:val="000000"/>
          <w:sz w:val="20"/>
          <w:shd w:fill="FFFFFF" w:val="clear"/>
        </w:rPr>
        <w:t>three months ended September 30, 2024</w:t>
      </w:r>
      <w:r>
        <w:rPr>
          <w:color w:val="000000"/>
        </w:rPr>
        <w:t xml:space="preserve"> </w:t>
      </w:r>
      <w:r>
        <w:rPr>
          <w:rFonts w:ascii="Times New Roman;sans-serif" w:hAnsi="Times New Roman;sans-serif"/>
          <w:b w:val="false"/>
          <w:color w:val="000000"/>
          <w:sz w:val="20"/>
        </w:rPr>
        <w:t xml:space="preserve">decreased to 16.8% compared to 18.1% in the same period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Distribution, selling and administrative expenses increased by $0.8 million, or 1.7%, for the three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primarily due to increases of $1.0 million each in both auto expenses and insurance costs, partially offset by a decrease of $1.6 million in professional fees. Distribution, selling and administrative expenses as a percentage of net revenue decreased to 16.6% for the three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from 17.4% in the same period in 2023, primarily due to increased net revenue and lower professional fees, partially offset by increased rental expenses and insurance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three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of $2.6 million remained consistent compared to the three months ended September 30, 2023, having decreased slightly from $2.7 million. Average floating interest rates on our floating-rate debt for the three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remained consistent on our line of credit and the JPMorgan Chase mortgage-secured term loan, compared to the same period in 2023. Our average daily line of credit balance increased by $22.3 million, or 56.6%, to $61.7 million for the three months ended September 30, 2024 from $39.4 million for the three months ended September 30, 2023, and our average daily JPMorgan Chase mortgage-secured term loan balance decreased by $5 million, or 4.7%, to $103.0 million for the three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from $108.0 million for the three months ended September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was $1.3 million for the three months ended September 30, 2024, compared to an income tax benefit of $36 thousand for the three months ended September 30, 2023, primarily due to an increase in loss before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loss attributable to HF Foods Group Inc. was $3.9 million for the three months ended </w:t>
      </w:r>
      <w:r>
        <w:rPr>
          <w:rFonts w:ascii="Times New Roman;sans-serif" w:hAnsi="Times New Roman;sans-serif"/>
          <w:b w:val="false"/>
          <w:color w:val="000000"/>
          <w:sz w:val="20"/>
          <w:shd w:fill="FFFFFF" w:val="clear"/>
        </w:rPr>
        <w:t>September 30, 2024</w:t>
      </w:r>
      <w:r>
        <w:rPr>
          <w:rFonts w:ascii="Times New Roman;sans-serif" w:hAnsi="Times New Roman;sans-serif"/>
          <w:b w:val="false"/>
          <w:color w:val="000000"/>
          <w:sz w:val="20"/>
        </w:rPr>
        <w:t>, compared to net income of $1.9 million for the three months ended September 30, 2023. The loss was primarily driven by the change related to the fair value of interest rate swap contracts of $5.3 million and increases of $1.0 million each in both auto expenses and insurance costs partially offset by the increase of income tax benefit of $1.2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9404" w:type="dxa"/>
        <w:jc w:val="left"/>
        <w:tblInd w:w="0" w:type="dxa"/>
        <w:tblLayout w:type="fixed"/>
        <w:tblCellMar>
          <w:top w:w="28" w:type="dxa"/>
          <w:left w:w="28" w:type="dxa"/>
          <w:bottom w:w="28" w:type="dxa"/>
          <w:right w:w="28" w:type="dxa"/>
        </w:tblCellMar>
      </w:tblPr>
      <w:tblGrid>
        <w:gridCol w:w="1519"/>
        <w:gridCol w:w="1337"/>
        <w:gridCol w:w="1344"/>
        <w:gridCol w:w="109"/>
        <w:gridCol w:w="109"/>
        <w:gridCol w:w="109"/>
        <w:gridCol w:w="555"/>
        <w:gridCol w:w="344"/>
        <w:gridCol w:w="346"/>
        <w:gridCol w:w="287"/>
        <w:gridCol w:w="287"/>
        <w:gridCol w:w="287"/>
        <w:gridCol w:w="555"/>
        <w:gridCol w:w="339"/>
        <w:gridCol w:w="337"/>
        <w:gridCol w:w="109"/>
        <w:gridCol w:w="109"/>
        <w:gridCol w:w="109"/>
        <w:gridCol w:w="369"/>
        <w:gridCol w:w="342"/>
        <w:gridCol w:w="348"/>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Business transformation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non-routine expense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Represents non-recurring costs associated with the launch of strategic projects including supply chain management improvements and technology infrastructure initiatives. </w:t>
      </w:r>
    </w:p>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Includes contested proxy and related legal and consulting costs and facility closure costs.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Nine Months Ended September 30, 2024 to Nine Months Ended September 30, 2023</w:t>
      </w:r>
    </w:p>
    <w:p>
      <w:pPr>
        <w:pStyle w:val="TextBody"/>
        <w:bidi w:val="0"/>
        <w:spacing w:lineRule="auto" w:line="288" w:before="120" w:after="283"/>
        <w:jc w:val="both"/>
        <w:rPr/>
      </w:pPr>
      <w:r>
        <w:rPr>
          <w:rFonts w:ascii="Times New Roman;sans-serif" w:hAnsi="Times New Roman;sans-serif"/>
          <w:b w:val="false"/>
          <w:color w:val="000000"/>
          <w:sz w:val="20"/>
        </w:rPr>
        <w:t>The following table sets forth a summary of our consolidated results of operations for the nine months ended September 30, 2024</w:t>
      </w:r>
      <w:r>
        <w:rPr>
          <w:color w:val="000000"/>
        </w:rPr>
        <w:t xml:space="preserve"> </w:t>
      </w:r>
      <w:r>
        <w:rPr>
          <w:rFonts w:ascii="Times New Roman;sans-serif" w:hAnsi="Times New Roman;sans-serif"/>
          <w:b w:val="false"/>
          <w:color w:val="000000"/>
          <w:sz w:val="20"/>
        </w:rPr>
        <w:t>and 2023</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023"/>
        <w:gridCol w:w="1778"/>
        <w:gridCol w:w="1785"/>
        <w:gridCol w:w="240"/>
        <w:gridCol w:w="943"/>
        <w:gridCol w:w="123"/>
        <w:gridCol w:w="123"/>
        <w:gridCol w:w="123"/>
        <w:gridCol w:w="123"/>
        <w:gridCol w:w="240"/>
        <w:gridCol w:w="943"/>
        <w:gridCol w:w="123"/>
        <w:gridCol w:w="109"/>
        <w:gridCol w:w="109"/>
        <w:gridCol w:w="109"/>
        <w:gridCol w:w="211"/>
        <w:gridCol w:w="721"/>
        <w:gridCol w:w="109"/>
        <w:gridCol w:w="109"/>
        <w:gridCol w:w="161"/>
      </w:tblGrid>
      <w:tr>
        <w:trPr/>
        <w:tc>
          <w:tcPr>
            <w:tcW w:w="202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70" w:type="dxa"/>
            <w:gridSpan w:val="2"/>
            <w:tcBorders/>
          </w:tcPr>
          <w:p>
            <w:pPr>
              <w:pStyle w:val="TableContents"/>
              <w:bidi w:val="0"/>
              <w:spacing w:before="0" w:after="283"/>
              <w:jc w:val="left"/>
              <w:rPr>
                <w:sz w:val="4"/>
                <w:szCs w:val="4"/>
              </w:rPr>
            </w:pPr>
            <w:r>
              <w:rPr>
                <w:sz w:val="4"/>
                <w:szCs w:val="4"/>
              </w:rPr>
            </w:r>
          </w:p>
        </w:tc>
      </w:tr>
      <w:tr>
        <w:trPr/>
        <w:tc>
          <w:tcPr>
            <w:tcW w:w="5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896,385 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 attributable to HF Foods Group Inc.</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8959" w:type="dxa"/>
        <w:jc w:val="left"/>
        <w:tblInd w:w="0" w:type="dxa"/>
        <w:tblLayout w:type="fixed"/>
        <w:tblCellMar>
          <w:top w:w="28" w:type="dxa"/>
          <w:left w:w="28" w:type="dxa"/>
          <w:bottom w:w="28" w:type="dxa"/>
          <w:right w:w="28" w:type="dxa"/>
        </w:tblCellMar>
      </w:tblPr>
      <w:tblGrid>
        <w:gridCol w:w="2049"/>
        <w:gridCol w:w="1806"/>
        <w:gridCol w:w="1814"/>
        <w:gridCol w:w="352"/>
        <w:gridCol w:w="264"/>
        <w:gridCol w:w="611"/>
        <w:gridCol w:w="245"/>
        <w:gridCol w:w="245"/>
        <w:gridCol w:w="245"/>
        <w:gridCol w:w="352"/>
        <w:gridCol w:w="264"/>
        <w:gridCol w:w="712"/>
      </w:tblGrid>
      <w:tr>
        <w:trPr/>
        <w:tc>
          <w:tcPr>
            <w:tcW w:w="204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nine months ended September 30, 2024 increased by $28.8 million, or 3.3%, compared to the same period in 2023. </w:t>
      </w:r>
      <w:r>
        <w:rPr>
          <w:rFonts w:ascii="Times New Roman;sans-serif" w:hAnsi="Times New Roman;sans-serif"/>
          <w:b w:val="false"/>
          <w:color w:val="000000"/>
          <w:sz w:val="20"/>
        </w:rPr>
        <w:t>This increase was primarily attributable to product cost inflation and improved pricing in certain categories, partially offset by the $13.3 million loss in revenue resulting from the exit of our chicken processing businesses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Gross profit was $153.0 million for the nine months</w:t>
      </w:r>
      <w:r>
        <w:rPr>
          <w:color w:val="000000"/>
          <w:shd w:fill="FFFFFF" w:val="clear"/>
        </w:rPr>
        <w:t xml:space="preserve"> </w:t>
      </w:r>
      <w:r>
        <w:rPr>
          <w:rFonts w:ascii="Times New Roman;sans-serif" w:hAnsi="Times New Roman;sans-serif"/>
          <w:b w:val="false"/>
          <w:color w:val="000000"/>
          <w:sz w:val="20"/>
          <w:shd w:fill="FFFFFF" w:val="clear"/>
        </w:rPr>
        <w:t>ended September 30, 2024</w:t>
      </w:r>
      <w:r>
        <w:rPr>
          <w:color w:val="000000"/>
        </w:rPr>
        <w:t xml:space="preserve"> </w:t>
      </w:r>
      <w:r>
        <w:rPr>
          <w:rFonts w:ascii="Times New Roman;sans-serif" w:hAnsi="Times New Roman;sans-serif"/>
          <w:b w:val="false"/>
          <w:color w:val="000000"/>
          <w:sz w:val="20"/>
        </w:rPr>
        <w:t xml:space="preserve">compared to $151.8 million in the same period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an increase of $1.3 million, or </w:t>
      </w:r>
      <w:r>
        <w:rPr>
          <w:rFonts w:ascii="Times New Roman;sans-serif" w:hAnsi="Times New Roman;sans-serif"/>
          <w:b w:val="false"/>
          <w:color w:val="000000"/>
          <w:sz w:val="20"/>
          <w:shd w:fill="FFFFFF" w:val="clear"/>
        </w:rPr>
        <w:t>0.8%</w:t>
      </w:r>
      <w:r>
        <w:rPr>
          <w:rFonts w:ascii="Times New Roman;sans-serif" w:hAnsi="Times New Roman;sans-serif"/>
          <w:b w:val="false"/>
          <w:color w:val="000000"/>
          <w:sz w:val="20"/>
        </w:rPr>
        <w:t xml:space="preserve">. The gross profit increase was primarily attributable to increased net revenue partially offset by increased costs. Gross profit margin for the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decreased to 17.1% compared to 17.5% in the same period in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Distribution, selling and administrative expenses of $150.0 million for the nine months</w:t>
      </w:r>
      <w:r>
        <w:rPr>
          <w:color w:val="000000"/>
          <w:shd w:fill="FFFFFF" w:val="clear"/>
        </w:rPr>
        <w:t xml:space="preserve"> </w:t>
      </w:r>
      <w:r>
        <w:rPr>
          <w:rFonts w:ascii="Times New Roman;sans-serif" w:hAnsi="Times New Roman;sans-serif"/>
          <w:b w:val="false"/>
          <w:color w:val="000000"/>
          <w:sz w:val="20"/>
          <w:shd w:fill="FFFFFF" w:val="clear"/>
        </w:rPr>
        <w:t>ended September 30, 2024</w:t>
      </w:r>
      <w:r>
        <w:rPr>
          <w:color w:val="000000"/>
        </w:rPr>
        <w:t xml:space="preserve"> </w:t>
      </w:r>
      <w:r>
        <w:rPr>
          <w:rFonts w:ascii="Times New Roman;sans-serif" w:hAnsi="Times New Roman;sans-serif"/>
          <w:b w:val="false"/>
          <w:color w:val="000000"/>
          <w:sz w:val="20"/>
        </w:rPr>
        <w:t xml:space="preserve">decreased compared to prior year expenses of $154.0 million primarily due to a decrease of $10.0 million in professional fees, partially offset by an increase of $3.6 million in payroll and related labor costs and an increase of $2.0 million in insurance costs. Distribution, selling and administrative expenses as a percentage of net revenue decreased to 16.7% for the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from 17.8% in the same period in 2023, primarily due to lower professional fees and increased net revenue, partially offset by increased payroll and related labor costs and insurance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increased by $0.2 million or </w:t>
      </w:r>
      <w:r>
        <w:rPr>
          <w:rFonts w:ascii="Times New Roman;sans-serif" w:hAnsi="Times New Roman;sans-serif"/>
          <w:b w:val="false"/>
          <w:color w:val="000000"/>
          <w:sz w:val="20"/>
          <w:shd w:fill="FFFFFF" w:val="clear"/>
        </w:rPr>
        <w:t>2.0%</w:t>
      </w:r>
      <w:r>
        <w:rPr>
          <w:rFonts w:ascii="Times New Roman;sans-serif" w:hAnsi="Times New Roman;sans-serif"/>
          <w:b w:val="false"/>
          <w:color w:val="000000"/>
          <w:sz w:val="20"/>
        </w:rPr>
        <w:t xml:space="preserve">, compared to the nine months ended September 30, 2023, primarily due to an increase in our average daily line of credit balance of $13.1 million combined with a slightly higher interest-rate environment, partially offset by a decrease in our average daily JPMorgan Chase mortgage-secured term loan balance of $5.1 million . Average floating interest rates on our floating-rate debt for the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increased by approximately 0.4% on the line of credit and 0.4% on the JPMorgan Chase mortgage-secured term loan, compared to the same period in 2023. Our average daily line of credit balance increased by $13.1 million, or 31.9%, to $54.3 million for the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 xml:space="preserve">from $41.2 million for the nine months ended September 30, 2023, and our average daily JPMorgan Chase mortgage-secured term loan balance decreased by $5.1 million, or 4.6%, to $104.2 million for the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from $109.3 million for the nine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Expense (Benefit)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$0.2 million for the nine months ended September 30, 2024, compared to an income tax benefit of $2.1 million for the nine months ended September 30, 2023, primarily due to a decrease in loss before income taxes and discrete tax items related to the previously-disclosed settlement agreement with the SEC and stock-based compensation shortfalls impacting the tax provision for the current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loss attributable to HF Foods Group Inc. was $4.6 million for the nine months ended </w:t>
      </w:r>
      <w:r>
        <w:rPr>
          <w:rFonts w:ascii="Times New Roman;sans-serif" w:hAnsi="Times New Roman;sans-serif"/>
          <w:b w:val="false"/>
          <w:color w:val="000000"/>
          <w:sz w:val="20"/>
          <w:shd w:fill="FFFFFF" w:val="clear"/>
        </w:rPr>
        <w:t>September 30, 2024</w:t>
      </w:r>
      <w:r>
        <w:rPr>
          <w:rFonts w:ascii="Times New Roman;sans-serif" w:hAnsi="Times New Roman;sans-serif"/>
          <w:b w:val="false"/>
          <w:color w:val="000000"/>
          <w:sz w:val="20"/>
        </w:rPr>
        <w:t>, compared to net loss of $4.9 million for the nine months ended September 30, 2023. The decrease in net loss of $0.3 million was primarily driven by the increase in our income from operations of $5.3 million and the $5.2 million reversal of our lease guarantee liability, partially offset by the previously-disclosed settlement with the SEC of $3.9 million, the increase of income tax expense of $2.2 million and the loss of $3.1 million resulting from the change in fair value of interest rate swap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9224" w:type="dxa"/>
        <w:jc w:val="left"/>
        <w:tblInd w:w="0" w:type="dxa"/>
        <w:tblLayout w:type="fixed"/>
        <w:tblCellMar>
          <w:top w:w="28" w:type="dxa"/>
          <w:left w:w="28" w:type="dxa"/>
          <w:bottom w:w="28" w:type="dxa"/>
          <w:right w:w="28" w:type="dxa"/>
        </w:tblCellMar>
      </w:tblPr>
      <w:tblGrid>
        <w:gridCol w:w="1520"/>
        <w:gridCol w:w="1335"/>
        <w:gridCol w:w="1345"/>
        <w:gridCol w:w="109"/>
        <w:gridCol w:w="109"/>
        <w:gridCol w:w="109"/>
        <w:gridCol w:w="534"/>
        <w:gridCol w:w="344"/>
        <w:gridCol w:w="346"/>
        <w:gridCol w:w="276"/>
        <w:gridCol w:w="276"/>
        <w:gridCol w:w="276"/>
        <w:gridCol w:w="534"/>
        <w:gridCol w:w="344"/>
        <w:gridCol w:w="346"/>
        <w:gridCol w:w="109"/>
        <w:gridCol w:w="109"/>
        <w:gridCol w:w="109"/>
        <w:gridCol w:w="369"/>
        <w:gridCol w:w="284"/>
        <w:gridCol w:w="287"/>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19,932</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24,532</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Business transformation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non-routine expense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non-recurring costs associated with the launch of strategic projects including supply chain management improvements and technology infrastructure initiatives.</w:t>
      </w:r>
    </w:p>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Includes contested proxy and related legal and consulting costs and facility closure costs.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cash of approximately $11.4 million, checks issued not presented for payment of $12.0 million and access to approximately $27.3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September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is also affected by the entry of an administrative civil cease-and-desist order by the SEC, whereby we agreed to payment of a civil monetary penalty of $3.9 million. We made this payment during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have no off balance sheet arrangements that currently have or are reasonably likely to have a material effect on our consolidated financial position, changes in financial condition, results of operations, liquidity, capital expenditures or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summarizes cash flow data for the three months ended September 30, 2024</w:t>
      </w:r>
      <w:r>
        <w:rPr>
          <w:color w:val="000000"/>
        </w:rPr>
        <w:t xml:space="preserve"> </w:t>
      </w:r>
      <w:r>
        <w:rPr>
          <w:rFonts w:ascii="Times New Roman;sans-serif" w:hAnsi="Times New Roman;sans-serif"/>
          <w:b w:val="false"/>
          <w:color w:val="000000"/>
          <w:sz w:val="20"/>
        </w:rPr>
        <w:t>and 2023:</w:t>
      </w:r>
    </w:p>
    <w:tbl>
      <w:tblPr>
        <w:tblW w:w="8809" w:type="dxa"/>
        <w:jc w:val="left"/>
        <w:tblInd w:w="0" w:type="dxa"/>
        <w:tblLayout w:type="fixed"/>
        <w:tblCellMar>
          <w:top w:w="28" w:type="dxa"/>
          <w:left w:w="28" w:type="dxa"/>
          <w:bottom w:w="28" w:type="dxa"/>
          <w:right w:w="28" w:type="dxa"/>
        </w:tblCellMar>
      </w:tblPr>
      <w:tblGrid>
        <w:gridCol w:w="1524"/>
        <w:gridCol w:w="1342"/>
        <w:gridCol w:w="1349"/>
        <w:gridCol w:w="266"/>
        <w:gridCol w:w="871"/>
        <w:gridCol w:w="137"/>
        <w:gridCol w:w="137"/>
        <w:gridCol w:w="137"/>
        <w:gridCol w:w="137"/>
        <w:gridCol w:w="266"/>
        <w:gridCol w:w="909"/>
        <w:gridCol w:w="137"/>
        <w:gridCol w:w="109"/>
        <w:gridCol w:w="109"/>
        <w:gridCol w:w="109"/>
        <w:gridCol w:w="211"/>
        <w:gridCol w:w="796"/>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operating activities consists primarily of net income, which includes the $3.9 million SEC settlement payment, adjusted for non-cash items, including depreciation and amortization, changes in deferred income taxes and others, and includes the effect of working capital changes. Net cash (used in) provided by operating activities decreased by $23.9 million primarily due to the timing of working capital outlays and the $3.9 million SEC settlement payment partially offset by improved operating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by $6.8 million primarily due to increased capital project spend in the nine months ended September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financing activities decreased by $37.0 million to $8.9 million provided by financing activities primarily due to net line of credit activity, as well as the checks issued not presented for payment activity for the nine months ended September 30, 2024 compared to the nine months ended September 30,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2023 Annual Report on Form 10-K includes a summary of the critical accounting policies and estimates we believe are the most important to aid in understanding our financial results. There have been no changes to those critical accounting policies and estimates that have had a material impact on our reported amounts of assets, liabilities, revenue, or expenses during the three months ended September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2023 financial performance in comparison to previous forecasts, combined with our level of stock price, we performed a quantitative impairment assessment as of December 31, 2023. A quantitative goodwill impairment analysis requires valuation of the respective reporting unit, which requires complex analysis and judgment. The results of the testing as of December 31, 2023, concluded that the estimated fair value exceeded carrying value by approximately 10%, and no impairment existed as of that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concluded that a triggering event occurred due to a sustained decline in the Company’s stock price since December 31, 2023, which required interim testing for goodwill impairment in accordance with ASC 350. Accordingly, the Company performed a quantitative assessment as of September 30, 2024. The results of the testing as of September 30, 2024 concluded that the estimated fair value exceeded carrying value by approximately 1% and no impairment existed as of that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both the September 30, 2024 and December 31, 2023 impairment tests, we use a combination of discounted cash flow (“DCF”) model and market approaches, such as public company comparable analysis and comparable acquisitions analysis to determine fair value. The income approach and market approaches were weighted equally to estimate fair value. The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approach requires detailed forecasts of cash flows, including significant assumptions such as revenue growth rates, gross profit margin, distribution, selling, and administrative expenses, and an estimate of weighted-average cost of capital which we believe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We categorize the fair value determination as Level 3 in the fair value hierarchy due to its use of internal projections and unobservable measurement inputs.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corroborated the reasonableness of the total fair value of the reporting unit at both September 30, 2024 and December 31, 2023 by assessing the implied enterprise value control premium based on our market capitalization and also considered the lack of liquidity in the Company’s common stock. The Company’s common stock is fairly thinly traded, with a higher level of internal stockholders than its peers, and no major analyst coverage. As a result, the implied value from the traded stock price is based on limited investment public interest. Our market capitalization is calculated using the number of common shares issued and the common stock’s publicly traded price. We also consider the amount of headroom for the reporting unit when determining whether an impairment existed. Headroom is the difference between the fair value of a reporting unit and its carrying value. The fair value of the reporting unit exceeded the reporting unit carrying value by approximately 1% or $5 million at September 30, 2024, and 10% or $45.0 million at December 31, 2023. No goodwill impairment was recorded for the nine months ended September 30, 2024 or the year ended December 31, 2023. Additionally, see </w:t>
      </w:r>
      <w:r>
        <w:rPr>
          <w:rFonts w:ascii="Times New Roman;sans-serif" w:hAnsi="Times New Roman;sans-serif"/>
          <w:b w:val="false"/>
          <w:i/>
          <w:color w:val="000000"/>
          <w:sz w:val="20"/>
        </w:rPr>
        <w:t>Note 6 - Goodwill and Acquired Intangible Assets</w:t>
      </w:r>
      <w:r>
        <w:rPr>
          <w:color w:val="000000"/>
        </w:rPr>
        <w:t xml:space="preserve"> </w:t>
      </w:r>
      <w:r>
        <w:rPr>
          <w:rFonts w:ascii="Times New Roman;sans-serif" w:hAnsi="Times New Roman;sans-serif"/>
          <w:b w:val="false"/>
          <w:color w:val="000000"/>
          <w:sz w:val="20"/>
        </w:rPr>
        <w:t>of our condensed consolidated financial statements on this Form 10-Q for disclosure regarding the Company’s single reporting unit.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 by utilizing changes in assumptions that would reasonably likely occur. Assuming all other assumptions and inputs used in the fair value analysis are held constant, for the September 30, 2024 impairment test, a 100 basis point increase in the discount rate assumption, a 1x decrease in the respective EBITDA multiple assumptions, a 25 basis point decrease in the gross profit margin assumption, and a 50 basis point decrease in the revenue growth rate assumption would result in a decrease in the fair value of our reporting unit of approximately $13.7 million, $34.1 million, $7.9 million, and $10.1 million, respectively, which would likely result in an impairment.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December 31, 2023 impairment test, a 100 basis point increase in the discount rate assumption, a 1x decrease in the respective EBITDA multiple assumptions, a 25 basis point decrease in the gross profit margin assumption, and a 50 basis point decrease in the revenue growth rate assumption would result in a decrease in the fair value of our reporting unit of approximately $14.8 million, $36.9 million, $8.4 million, and $22.6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estimated changes in fair value are not necessarily representative of the actual impairment that would be recorded in the event of a fair value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in future periods, the financial performance of the reporting unit does not meet forecasted expectations, or a further prolonged decline occurs in the market price of our common stock, it may cause a change in the results of the impairment assessment and, as such, could result in an impairment of goodwill.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Furthermore, as disclosed in </w:t>
      </w:r>
      <w:r>
        <w:rPr>
          <w:rFonts w:ascii="Times New Roman;sans-serif" w:hAnsi="Times New Roman;sans-serif"/>
          <w:b w:val="false"/>
          <w:i/>
          <w:color w:val="000000"/>
          <w:sz w:val="20"/>
        </w:rPr>
        <w:t>Note 14 - Subsequent Events</w:t>
      </w:r>
      <w:r>
        <w:rPr>
          <w:color w:val="000000"/>
        </w:rPr>
        <w:t xml:space="preserve"> </w:t>
      </w:r>
      <w:r>
        <w:rPr>
          <w:rFonts w:ascii="Times New Roman;sans-serif" w:hAnsi="Times New Roman;sans-serif"/>
          <w:b w:val="false"/>
          <w:color w:val="000000"/>
          <w:sz w:val="20"/>
        </w:rPr>
        <w:t xml:space="preserve">of our condensed consolidated financial statements on this Form 10-Q, on October 24, 2024, the Board of Directors of the Company terminated Xiao Mou (Peter) Zhang as Chief Executive Officer of the Company, effective as of October 24, 2024. In addition, on October 24, 2024, Xi (Felix) Lin was appointed to serve as Interim Chief Executive Officer, effective as of October 24, 2024. Mr. Lin continues to serve as the Company’s Chief Operating Officer and President. Prior to his termination as Chief Executive Officer of the Company, Xiao Mou (Peter) Zhang was determined to be the Company’s chief operating decision maker for purposes of segment reporting. The Company will need to analyze the impact of this change on not only segment reporting, but also on the determination of reporting units. If changes in reporting units are concluded to be applicable, such changes could also impact future goodwill impairment assessments.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a discussion of recent accounting pronouncements, 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in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Times New Roman;sans-serif" w:hAnsi="Times New Roman;sans-serif"/>
          <w:b w:val="false"/>
          <w:i/>
          <w:color w:val="000000"/>
          <w:sz w:val="20"/>
        </w:rPr>
        <w:t xml:space="preserve">Note 7 - Derivative Financial Instruments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September 30, 2024, our aggregate floating rate debt’s outstanding principal balance without hedging was $69.1 million, or 39.0% of total debt, consisting primarily of our revolving line of credit (see </w:t>
      </w:r>
      <w:r>
        <w:rPr>
          <w:rFonts w:ascii="Times New Roman;sans-serif" w:hAnsi="Times New Roman;sans-serif"/>
          <w:b w:val="false"/>
          <w:i/>
          <w:color w:val="000000"/>
          <w:sz w:val="20"/>
        </w:rPr>
        <w:t>Note 8 - Debt</w:t>
      </w:r>
      <w:r>
        <w:rPr>
          <w:color w:val="000000"/>
        </w:rPr>
        <w:t xml:space="preserve"> </w:t>
      </w:r>
      <w:r>
        <w:rPr>
          <w:rFonts w:ascii="Times New Roman;sans-serif" w:hAnsi="Times New Roman;sans-serif"/>
          <w:b w:val="false"/>
          <w:color w:val="000000"/>
          <w:sz w:val="20"/>
        </w:rPr>
        <w:t>to the condensed consolidated financial statements in this Quarterly Report on Form 10-Q). Our floating rate debt interest is based on the floating 1-month SOFR plus a predetermined credit adjustment rate plus the bank spread. The remaining 61.0% of our debt is on a fixed rate or a floating rate with hedging. In a hypothetical scenario, a 1% change in the applicable rate would cause the interest expense on our floating rate debt to change by approximately $0.7 million per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the third quarter of 2024 decreased in comparison to average prices in the same period in 2023, decreasing 14.6%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2023, we identified material weaknesses as were reported previously, which continue to exist as of September 30, 2024. We did not properly design or maintain effective controls over the control environment, risk assessment, control activities, information and communication components and monitoring of the Committee of Sponsoring Organizations of the Treadway Commission in 2013.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evaluation, our principal executive officer and principal financial and accounting officer have concluded that as a result of the material weaknesses and control deficiencies as reported in our Annual Report on Form 10-K for the year ended December 31, 2023, our disclosure controls and procedures were not effective as of September 30, 2024. Notwithstanding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weaknesses, our management has concluded that the financial statements included elsewhere in this report present fairly, and in all material respects, our financial position, results of operation and cash flow in conformity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 and Disclosure Controls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previously identified will continue to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efforts previously disclosed, there have been no changes in our internal controls over financial reporting for the quarter ended September 30, 2024,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pPr>
      <w:r>
        <w:rPr>
          <w:rFonts w:ascii="Times New Roman;sans-serif" w:hAnsi="Times New Roman;sans-serif"/>
          <w:b w:val="false"/>
          <w:color w:val="000000"/>
          <w:sz w:val="20"/>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sans-serif" w:hAnsi="Times New Roman;sans-serif"/>
          <w:b w:val="false"/>
          <w:i/>
          <w:color w:val="000000"/>
          <w:sz w:val="20"/>
        </w:rPr>
        <w:t>Note 13 - Commitments and Contingencies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disclosed in Item 1A of our Annual Report on Form 10-K for the year ended December 31, 2023 and Quarterly Report on Form 10-Q for the quarter ended March 31, 2024, the quarter ended June 30, 2024 and the quarter ended September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from Registered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our officers or directors adopted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herein by reference or are filed or furnished with this report as indicated below:</w:t>
      </w:r>
    </w:p>
    <w:tbl>
      <w:tblPr>
        <w:tblW w:w="10205" w:type="dxa"/>
        <w:jc w:val="left"/>
        <w:tblInd w:w="0" w:type="dxa"/>
        <w:tblLayout w:type="fixed"/>
        <w:tblCellMar>
          <w:top w:w="28" w:type="dxa"/>
          <w:left w:w="28" w:type="dxa"/>
          <w:bottom w:w="28" w:type="dxa"/>
          <w:right w:w="28" w:type="dxa"/>
        </w:tblCellMar>
      </w:tblPr>
      <w:tblGrid>
        <w:gridCol w:w="357"/>
        <w:gridCol w:w="314"/>
        <w:gridCol w:w="315"/>
        <w:gridCol w:w="109"/>
        <w:gridCol w:w="109"/>
        <w:gridCol w:w="109"/>
        <w:gridCol w:w="1987"/>
        <w:gridCol w:w="1866"/>
        <w:gridCol w:w="1885"/>
        <w:gridCol w:w="109"/>
        <w:gridCol w:w="109"/>
        <w:gridCol w:w="109"/>
        <w:gridCol w:w="195"/>
        <w:gridCol w:w="195"/>
        <w:gridCol w:w="196"/>
        <w:gridCol w:w="121"/>
        <w:gridCol w:w="121"/>
        <w:gridCol w:w="121"/>
        <w:gridCol w:w="245"/>
        <w:gridCol w:w="245"/>
        <w:gridCol w:w="246"/>
        <w:gridCol w:w="121"/>
        <w:gridCol w:w="121"/>
        <w:gridCol w:w="121"/>
        <w:gridCol w:w="226"/>
        <w:gridCol w:w="226"/>
        <w:gridCol w:w="327"/>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8/11/2017</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8/27/2018</w:t>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11/4/2022</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First Amendment to Amended and Restated Bylaws, dated April 25,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4/26/2023</w:t>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Designation of Rights, Preferences and Privileges of Series A Participating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4/11/2023</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Unit Purchase Option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Amendment to Preferred Stock Rights Agreement, dated as of April 11, 2024, by and between HF Foods Group Inc. and Equiniti Trust Company, LLC (f/k/a American Stock Transfer &amp; Trust Company, LLC), as rights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8-A</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4/12/2024</w:t>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mendmentno2tothirdamended.htm">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mendmentno2tothirdamended.htm">
              <w:r>
                <w:rPr>
                  <w:rStyle w:val="InternetLink"/>
                  <w:rFonts w:ascii="Times New Roman;sans-serif" w:hAnsi="Times New Roman;sans-serif"/>
                  <w:b w:val="false"/>
                  <w:color w:val="000080"/>
                  <w:sz w:val="20"/>
                  <w:u w:val="single"/>
                </w:rPr>
                <w:t>Amendment No. 2 to Third Amended and Restated Credit Agreement, dated</w:t>
              </w:r>
            </w:hyperlink>
            <w:hyperlink w:anchor="amendmentno2tothirdamended.htm">
              <w:r>
                <w:rPr>
                  <w:rStyle w:val="InternetLink"/>
                  <w:rFonts w:ascii="Times New Roman;sans-serif" w:hAnsi="Times New Roman;sans-serif"/>
                  <w:b w:val="false"/>
                  <w:color w:val="000080"/>
                  <w:sz w:val="20"/>
                  <w:u w:val="single"/>
                </w:rPr>
                <w:t xml:space="preserve"> as of</w:t>
              </w:r>
            </w:hyperlink>
            <w:hyperlink w:anchor="amendmentno2tothirdamended.htm">
              <w:r>
                <w:rPr>
                  <w:rStyle w:val="InternetLink"/>
                  <w:rFonts w:ascii="Times New Roman;sans-serif" w:hAnsi="Times New Roman;sans-serif"/>
                  <w:b w:val="false"/>
                  <w:color w:val="000080"/>
                  <w:sz w:val="20"/>
                  <w:u w:val="single"/>
                </w:rPr>
                <w:t xml:space="preserve"> Jul</w:t>
              </w:r>
            </w:hyperlink>
            <w:hyperlink w:anchor="amendmentno2tothirdamended.htm">
              <w:r>
                <w:rPr>
                  <w:rStyle w:val="InternetLink"/>
                  <w:rFonts w:ascii="Times New Roman;sans-serif" w:hAnsi="Times New Roman;sans-serif"/>
                  <w:b w:val="false"/>
                  <w:color w:val="000080"/>
                  <w:sz w:val="20"/>
                  <w:u w:val="single"/>
                </w:rPr>
                <w:t>y 15,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leaseagreementbetweenchrea.htm">
              <w:r>
                <w:rPr>
                  <w:rStyle w:val="InternetLink"/>
                  <w:rFonts w:ascii="Times New Roman;sans-serif" w:hAnsi="Times New Roman;sans-serif"/>
                  <w:b w:val="false"/>
                  <w:color w:val="0000FF"/>
                  <w:sz w:val="20"/>
                  <w:u w:val="single"/>
                </w:rPr>
                <w:t>10.2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leaseagreementbetweenchrea.htm">
              <w:r>
                <w:rPr>
                  <w:rStyle w:val="InternetLink"/>
                  <w:rFonts w:ascii="Times New Roman;sans-serif" w:hAnsi="Times New Roman;sans-serif"/>
                  <w:b w:val="false"/>
                  <w:color w:val="0000FF"/>
                  <w:sz w:val="20"/>
                  <w:u w:val="single"/>
                </w:rPr>
                <w:t>Lease Agreement between CH Realty IX-NDG Atlanta Freeman Intermodal, L.P., as Landlord, and HF Foods Group, Inc., as Tenant, dated as of September 30,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3q-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3q-ex311.htm">
              <w:r>
                <w:rPr>
                  <w:rStyle w:val="InternetLink"/>
                  <w:rFonts w:ascii="Times New Roman;sans-serif" w:hAnsi="Times New Roman;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3q-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3q-ex312.htm">
              <w:r>
                <w:rPr>
                  <w:rStyle w:val="InternetLink"/>
                  <w:rFonts w:ascii="Times New Roman;sans-serif" w:hAnsi="Times New Roman;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3q-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3q-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3q-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3q-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10" w:type="dxa"/>
        <w:jc w:val="left"/>
        <w:tblInd w:w="0" w:type="dxa"/>
        <w:tblLayout w:type="fixed"/>
        <w:tblCellMar>
          <w:top w:w="28" w:type="dxa"/>
          <w:left w:w="28" w:type="dxa"/>
          <w:bottom w:w="28" w:type="dxa"/>
          <w:right w:w="28" w:type="dxa"/>
        </w:tblCellMar>
      </w:tblPr>
      <w:tblGrid>
        <w:gridCol w:w="124"/>
        <w:gridCol w:w="109"/>
        <w:gridCol w:w="109"/>
        <w:gridCol w:w="848"/>
        <w:gridCol w:w="848"/>
        <w:gridCol w:w="848"/>
        <w:gridCol w:w="848"/>
        <w:gridCol w:w="848"/>
        <w:gridCol w:w="87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Furnished herewith.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Indicates a management contract or compensatory plan or arrangement.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039" w:type="dxa"/>
        <w:jc w:val="left"/>
        <w:tblInd w:w="0" w:type="dxa"/>
        <w:tblLayout w:type="fixed"/>
        <w:tblCellMar>
          <w:top w:w="28" w:type="dxa"/>
          <w:left w:w="28" w:type="dxa"/>
          <w:bottom w:w="28" w:type="dxa"/>
          <w:right w:w="28" w:type="dxa"/>
        </w:tblCellMar>
      </w:tblPr>
      <w:tblGrid>
        <w:gridCol w:w="797"/>
        <w:gridCol w:w="702"/>
        <w:gridCol w:w="706"/>
        <w:gridCol w:w="1703"/>
        <w:gridCol w:w="1703"/>
        <w:gridCol w:w="2428"/>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Felix Lin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Felix Lin</w:t>
              <w:br/>
              <w:t>Interim Chief Executive Officer, President and Chief Operating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Cindy Yao</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br/>
              <w:t>(Principal accounting and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AMENDMENT NO. 2 TO THIRD AMENDED AND RESTATED CREDIT AGREEMENT</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This AMENDMENT NO. 2 TO THIRD AMENDED AND RESTATED CREDIT</w:t>
      </w:r>
      <w:r>
        <w:rPr>
          <w:color w:val="000000"/>
        </w:rPr>
        <w:t xml:space="preserve"> </w:t>
      </w:r>
      <w:r>
        <w:rPr>
          <w:rFonts w:ascii="Times New Roman;sans-serif" w:hAnsi="Times New Roman;sans-serif"/>
          <w:b w:val="false"/>
          <w:color w:val="000000"/>
          <w:sz w:val="22"/>
        </w:rPr>
        <w:t>AGREEMENT (this "</w:t>
      </w:r>
      <w:r>
        <w:rPr>
          <w:rFonts w:ascii="Times New Roman;sans-serif" w:hAnsi="Times New Roman;sans-serif"/>
          <w:b w:val="false"/>
          <w:color w:val="000000"/>
          <w:sz w:val="22"/>
          <w:u w:val="single"/>
        </w:rPr>
        <w:t>Amendment</w:t>
      </w:r>
      <w:r>
        <w:rPr>
          <w:rFonts w:ascii="Times New Roman;sans-serif" w:hAnsi="Times New Roman;sans-serif"/>
          <w:b w:val="false"/>
          <w:color w:val="000000"/>
          <w:sz w:val="22"/>
        </w:rPr>
        <w:t>") is entered into as of July 15, 2024, by and among HF FOODS GROUP INC., a Delaware corporation ("</w:t>
      </w:r>
      <w:r>
        <w:rPr>
          <w:rFonts w:ascii="Times New Roman;sans-serif" w:hAnsi="Times New Roman;sans-serif"/>
          <w:b w:val="false"/>
          <w:color w:val="000000"/>
          <w:sz w:val="22"/>
          <w:u w:val="single"/>
        </w:rPr>
        <w:t>HF</w:t>
      </w:r>
      <w:r>
        <w:rPr>
          <w:rFonts w:ascii="Times New Roman;sans-serif" w:hAnsi="Times New Roman;sans-serif"/>
          <w:b w:val="false"/>
          <w:color w:val="000000"/>
          <w:sz w:val="22"/>
        </w:rPr>
        <w:t>"), B&amp;R GLOBAL HOLDINGS, INC., a Delaware corporation ("</w:t>
      </w:r>
      <w:r>
        <w:rPr>
          <w:rFonts w:ascii="Times New Roman;sans-serif" w:hAnsi="Times New Roman;sans-serif"/>
          <w:b w:val="false"/>
          <w:color w:val="000000"/>
          <w:sz w:val="22"/>
          <w:u w:val="single"/>
        </w:rPr>
        <w:t>B&amp;R</w:t>
      </w:r>
      <w:r>
        <w:rPr>
          <w:rFonts w:ascii="Times New Roman;sans-serif" w:hAnsi="Times New Roman;sans-serif"/>
          <w:b w:val="false"/>
          <w:color w:val="000000"/>
          <w:sz w:val="22"/>
        </w:rPr>
        <w:t>"), RONGCHENG TRADING, LLC, a California limited liability company ("</w:t>
      </w:r>
      <w:r>
        <w:rPr>
          <w:rFonts w:ascii="Times New Roman;sans-serif" w:hAnsi="Times New Roman;sans-serif"/>
          <w:b w:val="false"/>
          <w:color w:val="000000"/>
          <w:sz w:val="22"/>
          <w:u w:val="single"/>
        </w:rPr>
        <w:t>Rongcheng</w:t>
      </w:r>
      <w:r>
        <w:rPr>
          <w:rFonts w:ascii="Times New Roman;sans-serif" w:hAnsi="Times New Roman;sans-serif"/>
          <w:b w:val="false"/>
          <w:color w:val="000000"/>
          <w:sz w:val="22"/>
        </w:rPr>
        <w:t>"), CAPITAL TRADING, LLC, a Utah limited liability company ("</w:t>
      </w:r>
      <w:r>
        <w:rPr>
          <w:rFonts w:ascii="Times New Roman;sans-serif" w:hAnsi="Times New Roman;sans-serif"/>
          <w:b w:val="false"/>
          <w:color w:val="000000"/>
          <w:sz w:val="22"/>
          <w:u w:val="single"/>
        </w:rPr>
        <w:t>Capital</w:t>
      </w:r>
      <w:r>
        <w:rPr>
          <w:rFonts w:ascii="Times New Roman;sans-serif" w:hAnsi="Times New Roman;sans-serif"/>
          <w:b w:val="false"/>
          <w:color w:val="000000"/>
          <w:sz w:val="22"/>
        </w:rPr>
        <w:t>"), WIN WOO TRADING, LLC, a California limited liability company ("</w:t>
      </w:r>
      <w:r>
        <w:rPr>
          <w:rFonts w:ascii="Times New Roman;sans-serif" w:hAnsi="Times New Roman;sans-serif"/>
          <w:b w:val="false"/>
          <w:color w:val="000000"/>
          <w:sz w:val="22"/>
          <w:u w:val="single"/>
        </w:rPr>
        <w:t>Win Woo</w:t>
      </w:r>
      <w:r>
        <w:rPr>
          <w:rFonts w:ascii="Times New Roman;sans-serif" w:hAnsi="Times New Roman;sans-serif"/>
          <w:b w:val="false"/>
          <w:color w:val="000000"/>
          <w:sz w:val="22"/>
        </w:rPr>
        <w:t>"), R &amp; C TRADING L.L.C., an Arizona limited liability company ("</w:t>
      </w:r>
      <w:r>
        <w:rPr>
          <w:rFonts w:ascii="Times New Roman;sans-serif" w:hAnsi="Times New Roman;sans-serif"/>
          <w:b w:val="false"/>
          <w:color w:val="000000"/>
          <w:sz w:val="22"/>
          <w:u w:val="single"/>
        </w:rPr>
        <w:t>R &amp; C</w:t>
      </w:r>
      <w:r>
        <w:rPr>
          <w:rFonts w:ascii="Times New Roman;sans-serif" w:hAnsi="Times New Roman;sans-serif"/>
          <w:b w:val="false"/>
          <w:color w:val="000000"/>
          <w:sz w:val="22"/>
        </w:rPr>
        <w:t>"), GREAT WALL SEAFOOD LA, LLC, a California limited liability company ("</w:t>
      </w:r>
      <w:r>
        <w:rPr>
          <w:rFonts w:ascii="Times New Roman;sans-serif" w:hAnsi="Times New Roman;sans-serif"/>
          <w:b w:val="false"/>
          <w:color w:val="000000"/>
          <w:sz w:val="22"/>
          <w:u w:val="single"/>
        </w:rPr>
        <w:t>Great Wall</w:t>
      </w:r>
      <w:r>
        <w:rPr>
          <w:rFonts w:ascii="Times New Roman;sans-serif" w:hAnsi="Times New Roman;sans-serif"/>
          <w:b w:val="false"/>
          <w:color w:val="000000"/>
          <w:sz w:val="22"/>
        </w:rPr>
        <w:t>"), B &amp; L TRADING, LLC, a Washington limited liability company ("</w:t>
      </w:r>
      <w:r>
        <w:rPr>
          <w:rFonts w:ascii="Times New Roman;sans-serif" w:hAnsi="Times New Roman;sans-serif"/>
          <w:b w:val="false"/>
          <w:color w:val="000000"/>
          <w:sz w:val="22"/>
          <w:u w:val="single"/>
        </w:rPr>
        <w:t>B &amp; L</w:t>
      </w:r>
      <w:r>
        <w:rPr>
          <w:rFonts w:ascii="Times New Roman;sans-serif" w:hAnsi="Times New Roman;sans-serif"/>
          <w:b w:val="false"/>
          <w:color w:val="000000"/>
          <w:sz w:val="22"/>
        </w:rPr>
        <w:t>"), MOUNTAIN FOOD, LLC, a Colorado limited liability company ("</w:t>
      </w:r>
      <w:r>
        <w:rPr>
          <w:rFonts w:ascii="Times New Roman;sans-serif" w:hAnsi="Times New Roman;sans-serif"/>
          <w:b w:val="false"/>
          <w:color w:val="000000"/>
          <w:sz w:val="22"/>
          <w:u w:val="single"/>
        </w:rPr>
        <w:t>Mountain</w:t>
      </w:r>
      <w:r>
        <w:rPr>
          <w:rFonts w:ascii="Times New Roman;sans-serif" w:hAnsi="Times New Roman;sans-serif"/>
          <w:b w:val="false"/>
          <w:color w:val="000000"/>
          <w:sz w:val="22"/>
        </w:rPr>
        <w:t>"), MIN FOOD INC., a California corporation ("</w:t>
      </w:r>
      <w:r>
        <w:rPr>
          <w:rFonts w:ascii="Times New Roman;sans-serif" w:hAnsi="Times New Roman;sans-serif"/>
          <w:b w:val="false"/>
          <w:color w:val="000000"/>
          <w:sz w:val="22"/>
          <w:u w:val="single"/>
        </w:rPr>
        <w:t>Min Food</w:t>
      </w:r>
      <w:r>
        <w:rPr>
          <w:rFonts w:ascii="Times New Roman;sans-serif" w:hAnsi="Times New Roman;sans-serif"/>
          <w:b w:val="false"/>
          <w:color w:val="000000"/>
          <w:sz w:val="22"/>
        </w:rPr>
        <w:t>"), MONTEREY FOOD SERVICE, LLC, a California limited liability company ("</w:t>
      </w:r>
      <w:r>
        <w:rPr>
          <w:rFonts w:ascii="Times New Roman;sans-serif" w:hAnsi="Times New Roman;sans-serif"/>
          <w:b w:val="false"/>
          <w:color w:val="000000"/>
          <w:sz w:val="22"/>
          <w:u w:val="single"/>
        </w:rPr>
        <w:t>Monterey</w:t>
      </w:r>
      <w:r>
        <w:rPr>
          <w:rFonts w:ascii="Times New Roman;sans-serif" w:hAnsi="Times New Roman;sans-serif"/>
          <w:b w:val="false"/>
          <w:color w:val="000000"/>
          <w:sz w:val="22"/>
        </w:rPr>
        <w:t>"), HAN FENG, INC., a North Carolina corporation ("</w:t>
      </w:r>
      <w:r>
        <w:rPr>
          <w:rFonts w:ascii="Times New Roman;sans-serif" w:hAnsi="Times New Roman;sans-serif"/>
          <w:b w:val="false"/>
          <w:color w:val="000000"/>
          <w:sz w:val="22"/>
          <w:u w:val="single"/>
        </w:rPr>
        <w:t>Han Feng</w:t>
      </w:r>
      <w:r>
        <w:rPr>
          <w:rFonts w:ascii="Times New Roman;sans-serif" w:hAnsi="Times New Roman;sans-serif"/>
          <w:b w:val="false"/>
          <w:color w:val="000000"/>
          <w:sz w:val="22"/>
        </w:rPr>
        <w:t>"), NEW SOUTHERN FOOD DISTRIBUTORS, INC., a Florida corporation ("</w:t>
      </w:r>
      <w:r>
        <w:rPr>
          <w:rFonts w:ascii="Times New Roman;sans-serif" w:hAnsi="Times New Roman;sans-serif"/>
          <w:b w:val="false"/>
          <w:color w:val="000000"/>
          <w:sz w:val="22"/>
          <w:u w:val="single"/>
        </w:rPr>
        <w:t>NSFD</w:t>
      </w:r>
      <w:r>
        <w:rPr>
          <w:rFonts w:ascii="Times New Roman;sans-serif" w:hAnsi="Times New Roman;sans-serif"/>
          <w:b w:val="false"/>
          <w:color w:val="000000"/>
          <w:sz w:val="22"/>
        </w:rPr>
        <w:t>"), KIRNLAND FOOD DISTRIBUTION, INC., a Georgia corporation ("</w:t>
      </w:r>
      <w:r>
        <w:rPr>
          <w:rFonts w:ascii="Times New Roman;sans-serif" w:hAnsi="Times New Roman;sans-serif"/>
          <w:b w:val="false"/>
          <w:color w:val="000000"/>
          <w:sz w:val="22"/>
          <w:u w:val="single"/>
        </w:rPr>
        <w:t>Kirnland</w:t>
      </w:r>
      <w:r>
        <w:rPr>
          <w:rFonts w:ascii="Times New Roman;sans-serif" w:hAnsi="Times New Roman;sans-serif"/>
          <w:b w:val="false"/>
          <w:color w:val="000000"/>
          <w:sz w:val="22"/>
        </w:rPr>
        <w:t>"), GREAT WALL SEAFOOD IL, L.L.C., an Illinois limited liability company ("</w:t>
      </w:r>
      <w:r>
        <w:rPr>
          <w:rFonts w:ascii="Times New Roman;sans-serif" w:hAnsi="Times New Roman;sans-serif"/>
          <w:b w:val="false"/>
          <w:color w:val="000000"/>
          <w:sz w:val="22"/>
          <w:u w:val="single"/>
        </w:rPr>
        <w:t>Great Wall IL</w:t>
      </w:r>
      <w:r>
        <w:rPr>
          <w:rFonts w:ascii="Times New Roman;sans-serif" w:hAnsi="Times New Roman;sans-serif"/>
          <w:b w:val="false"/>
          <w:color w:val="000000"/>
          <w:sz w:val="22"/>
        </w:rPr>
        <w:t>"), GREAT WALL SEAFOOD TX, L.L.C., a Texas limited liability company ("</w:t>
      </w:r>
      <w:r>
        <w:rPr>
          <w:rFonts w:ascii="Times New Roman;sans-serif" w:hAnsi="Times New Roman;sans-serif"/>
          <w:b w:val="false"/>
          <w:color w:val="000000"/>
          <w:sz w:val="22"/>
          <w:u w:val="single"/>
        </w:rPr>
        <w:t>Great Wall TX</w:t>
      </w:r>
      <w:r>
        <w:rPr>
          <w:rFonts w:ascii="Times New Roman;sans-serif" w:hAnsi="Times New Roman;sans-serif"/>
          <w:b w:val="false"/>
          <w:color w:val="000000"/>
          <w:sz w:val="22"/>
        </w:rPr>
        <w:t>"), GREAT WALL SEAFOOD VA, L.L.C., a Virginia limited liability company ("</w:t>
      </w:r>
      <w:r>
        <w:rPr>
          <w:rFonts w:ascii="Times New Roman;sans-serif" w:hAnsi="Times New Roman;sans-serif"/>
          <w:b w:val="false"/>
          <w:color w:val="000000"/>
          <w:sz w:val="22"/>
          <w:u w:val="single"/>
        </w:rPr>
        <w:t>Great Wall VA</w:t>
      </w:r>
      <w:r>
        <w:rPr>
          <w:rFonts w:ascii="Times New Roman;sans-serif" w:hAnsi="Times New Roman;sans-serif"/>
          <w:b w:val="false"/>
          <w:color w:val="000000"/>
          <w:sz w:val="22"/>
        </w:rPr>
        <w:t>"; HF, B&amp;R, Rongcheng, Capital, Win Woo, R &amp; C, Great Wall, B &amp; L, Mountain, Min Food, Monterey, Han Feng, NSFD, Kirnland, Great Wall IL, Great Wall TX and Great Wall VA are collectively referred to as the "</w:t>
      </w:r>
      <w:r>
        <w:rPr>
          <w:rFonts w:ascii="Times New Roman;sans-serif" w:hAnsi="Times New Roman;sans-serif"/>
          <w:b w:val="false"/>
          <w:color w:val="000000"/>
          <w:sz w:val="22"/>
          <w:u w:val="single"/>
        </w:rPr>
        <w:t>Working Capital Borrowers</w:t>
      </w:r>
      <w:r>
        <w:rPr>
          <w:rFonts w:ascii="Times New Roman;sans-serif" w:hAnsi="Times New Roman;sans-serif"/>
          <w:b w:val="false"/>
          <w:color w:val="000000"/>
          <w:sz w:val="22"/>
        </w:rPr>
        <w:t>"), B &amp; R REALTY, LLC, a California limited liability company ("</w:t>
      </w:r>
      <w:r>
        <w:rPr>
          <w:rFonts w:ascii="Times New Roman;sans-serif" w:hAnsi="Times New Roman;sans-serif"/>
          <w:b w:val="false"/>
          <w:color w:val="000000"/>
          <w:sz w:val="22"/>
          <w:u w:val="single"/>
        </w:rPr>
        <w:t>Realty</w:t>
      </w:r>
      <w:r>
        <w:rPr>
          <w:rFonts w:ascii="Times New Roman;sans-serif" w:hAnsi="Times New Roman;sans-serif"/>
          <w:b w:val="false"/>
          <w:color w:val="000000"/>
          <w:sz w:val="22"/>
        </w:rPr>
        <w:t>"), LUCKY REALTY, LLC, a California limited liability company ("</w:t>
      </w:r>
      <w:r>
        <w:rPr>
          <w:rFonts w:ascii="Times New Roman;sans-serif" w:hAnsi="Times New Roman;sans-serif"/>
          <w:b w:val="false"/>
          <w:color w:val="000000"/>
          <w:sz w:val="22"/>
          <w:u w:val="single"/>
        </w:rPr>
        <w:t>Lucky</w:t>
      </w:r>
      <w:r>
        <w:rPr>
          <w:rFonts w:ascii="Times New Roman;sans-serif" w:hAnsi="Times New Roman;sans-serif"/>
          <w:b w:val="false"/>
          <w:color w:val="000000"/>
          <w:sz w:val="22"/>
        </w:rPr>
        <w:t>"), GENSTAR REALTY, LLC, a California limited liability company ("</w:t>
      </w:r>
      <w:r>
        <w:rPr>
          <w:rFonts w:ascii="Times New Roman;sans-serif" w:hAnsi="Times New Roman;sans-serif"/>
          <w:b w:val="false"/>
          <w:color w:val="000000"/>
          <w:sz w:val="22"/>
          <w:u w:val="single"/>
        </w:rPr>
        <w:t>Genstar</w:t>
      </w:r>
      <w:r>
        <w:rPr>
          <w:rFonts w:ascii="Times New Roman;sans-serif" w:hAnsi="Times New Roman;sans-serif"/>
          <w:b w:val="false"/>
          <w:color w:val="000000"/>
          <w:sz w:val="22"/>
        </w:rPr>
        <w:t>"), MURRAY PROPERTIES, LLC, a Utah limited liability company ("</w:t>
      </w:r>
      <w:r>
        <w:rPr>
          <w:rFonts w:ascii="Times New Roman;sans-serif" w:hAnsi="Times New Roman;sans-serif"/>
          <w:b w:val="false"/>
          <w:color w:val="000000"/>
          <w:sz w:val="22"/>
          <w:u w:val="single"/>
        </w:rPr>
        <w:t>Murray</w:t>
      </w:r>
      <w:r>
        <w:rPr>
          <w:rFonts w:ascii="Times New Roman;sans-serif" w:hAnsi="Times New Roman;sans-serif"/>
          <w:b w:val="false"/>
          <w:color w:val="000000"/>
          <w:sz w:val="22"/>
        </w:rPr>
        <w:t>"), FORTUNE LIBERTY, LLC, a Utah limited liability company ("</w:t>
      </w:r>
      <w:r>
        <w:rPr>
          <w:rFonts w:ascii="Times New Roman;sans-serif" w:hAnsi="Times New Roman;sans-serif"/>
          <w:b w:val="false"/>
          <w:color w:val="000000"/>
          <w:sz w:val="22"/>
          <w:u w:val="single"/>
        </w:rPr>
        <w:t>Fortune</w:t>
      </w:r>
      <w:r>
        <w:rPr>
          <w:rFonts w:ascii="Times New Roman;sans-serif" w:hAnsi="Times New Roman;sans-serif"/>
          <w:b w:val="false"/>
          <w:color w:val="000000"/>
          <w:sz w:val="22"/>
        </w:rPr>
        <w:t>"), A &amp; KIE, LLC, an Arizona limited liability company("</w:t>
      </w:r>
      <w:r>
        <w:rPr>
          <w:rFonts w:ascii="Times New Roman;sans-serif" w:hAnsi="Times New Roman;sans-serif"/>
          <w:b w:val="false"/>
          <w:color w:val="000000"/>
          <w:sz w:val="22"/>
          <w:u w:val="single"/>
        </w:rPr>
        <w:t>A &amp; Kie</w:t>
      </w:r>
      <w:r>
        <w:rPr>
          <w:rFonts w:ascii="Times New Roman;sans-serif" w:hAnsi="Times New Roman;sans-serif"/>
          <w:b w:val="false"/>
          <w:color w:val="000000"/>
          <w:sz w:val="22"/>
        </w:rPr>
        <w:t>"), LENFA FOOD, LLC, a Colorado limited liability company ("</w:t>
      </w:r>
      <w:r>
        <w:rPr>
          <w:rFonts w:ascii="Times New Roman;sans-serif" w:hAnsi="Times New Roman;sans-serif"/>
          <w:b w:val="false"/>
          <w:color w:val="000000"/>
          <w:sz w:val="22"/>
          <w:u w:val="single"/>
        </w:rPr>
        <w:t>Lenfa</w:t>
      </w:r>
      <w:r>
        <w:rPr>
          <w:rFonts w:ascii="Times New Roman;sans-serif" w:hAnsi="Times New Roman;sans-serif"/>
          <w:b w:val="false"/>
          <w:color w:val="000000"/>
          <w:sz w:val="22"/>
        </w:rPr>
        <w:t>"), BIG SEA REALTY, LLC, a Washington limited liability company ("</w:t>
      </w:r>
      <w:r>
        <w:rPr>
          <w:rFonts w:ascii="Times New Roman;sans-serif" w:hAnsi="Times New Roman;sans-serif"/>
          <w:b w:val="false"/>
          <w:color w:val="000000"/>
          <w:sz w:val="22"/>
          <w:u w:val="single"/>
        </w:rPr>
        <w:t>Big Sea</w:t>
      </w:r>
      <w:r>
        <w:rPr>
          <w:rFonts w:ascii="Times New Roman;sans-serif" w:hAnsi="Times New Roman;sans-serif"/>
          <w:b w:val="false"/>
          <w:color w:val="000000"/>
          <w:sz w:val="22"/>
        </w:rPr>
        <w:t>"; Realty, Lucky, Genstar, Murray, Fortune, A &amp; Kie, Lenfa and Big Sea are collectively referred to as the "</w:t>
      </w:r>
      <w:r>
        <w:rPr>
          <w:rFonts w:ascii="Times New Roman;sans-serif" w:hAnsi="Times New Roman;sans-serif"/>
          <w:b w:val="false"/>
          <w:color w:val="000000"/>
          <w:sz w:val="22"/>
          <w:u w:val="single"/>
        </w:rPr>
        <w:t>Real Estate Borrowers</w:t>
      </w:r>
      <w:r>
        <w:rPr>
          <w:rFonts w:ascii="Times New Roman;sans-serif" w:hAnsi="Times New Roman;sans-serif"/>
          <w:b w:val="false"/>
          <w:color w:val="000000"/>
          <w:sz w:val="22"/>
        </w:rPr>
        <w:t>"; the Working Capital Borrowers and the Real Estate Borrowers, each a "</w:t>
      </w:r>
      <w:r>
        <w:rPr>
          <w:rFonts w:ascii="Times New Roman;sans-serif" w:hAnsi="Times New Roman;sans-serif"/>
          <w:b w:val="false"/>
          <w:color w:val="000000"/>
          <w:sz w:val="22"/>
          <w:u w:val="single"/>
        </w:rPr>
        <w:t>Borrower</w:t>
      </w:r>
      <w:r>
        <w:rPr>
          <w:rFonts w:ascii="Times New Roman;sans-serif" w:hAnsi="Times New Roman;sans-serif"/>
          <w:b w:val="false"/>
          <w:color w:val="000000"/>
          <w:sz w:val="22"/>
        </w:rPr>
        <w:t>" and collectively, the "</w:t>
      </w:r>
      <w:r>
        <w:rPr>
          <w:rFonts w:ascii="Times New Roman;sans-serif" w:hAnsi="Times New Roman;sans-serif"/>
          <w:b w:val="false"/>
          <w:color w:val="000000"/>
          <w:sz w:val="22"/>
          <w:u w:val="single"/>
        </w:rPr>
        <w:t>Borrowers</w:t>
      </w:r>
      <w:r>
        <w:rPr>
          <w:rFonts w:ascii="Times New Roman;sans-serif" w:hAnsi="Times New Roman;sans-serif"/>
          <w:b w:val="false"/>
          <w:color w:val="000000"/>
          <w:sz w:val="22"/>
        </w:rPr>
        <w:t>"), the Lenders party hereto (which constitute Required Lenders) and JPMORGAN CHASE BANK, N.A., as administrative agent for the Lenders (in such capacity, "</w:t>
      </w:r>
      <w:r>
        <w:rPr>
          <w:rFonts w:ascii="Times New Roman;sans-serif" w:hAnsi="Times New Roman;sans-serif"/>
          <w:b w:val="false"/>
          <w:color w:val="000000"/>
          <w:sz w:val="22"/>
          <w:u w:val="single"/>
        </w:rPr>
        <w:t>Administrative Agent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 I T N E S S E T H:</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WHEREAS, the Borrowers, the other Loan Parties party thereto, the Lenders party thereto and Administrative Agent are parties to that certain Third Amended and Restated Credit Agreement dated as of March 31, 2022 (as amended, restated, supplemented or otherwise modified to date and from time to time, including hereby, the "</w:t>
      </w:r>
      <w:r>
        <w:rPr>
          <w:rFonts w:ascii="Times New Roman;sans-serif" w:hAnsi="Times New Roman;sans-serif"/>
          <w:b w:val="false"/>
          <w:color w:val="000000"/>
          <w:sz w:val="22"/>
          <w:u w:val="single"/>
        </w:rPr>
        <w:t>Credit Agreement</w:t>
      </w:r>
      <w:r>
        <w:rPr>
          <w:rFonts w:ascii="Times New Roman;sans-serif" w:hAnsi="Times New Roman;sans-serif"/>
          <w:b w:val="false"/>
          <w:color w:val="000000"/>
          <w:sz w:val="22"/>
        </w:rPr>
        <w:t>"; capitalized terms used herein but not otherwise defined shall have the meanings set forth in the Credit Agreement);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Borrowers have requested that Required Lenders agree to amend the Credit Agreement as specified herein, and Required Lenders have agreed to such request, subject to the terms and conditions of this Amendment.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conditions and agreements set forth in the Credit Agreement and this Amendment, and other good and valuable consideration, the receipt and sufficiency of which are hereby acknowledged, the parties hereto hereby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Amendments to Credit Agreement</w:t>
      </w:r>
      <w:r>
        <w:rPr>
          <w:rFonts w:ascii="Times New Roman;sans-serif" w:hAnsi="Times New Roman;sans-serif"/>
          <w:b w:val="false"/>
          <w:color w:val="000000"/>
          <w:sz w:val="22"/>
        </w:rPr>
        <w:t xml:space="preserve">. Subject to the satisfaction of the conditions precedent set forth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below, and in reliance on the representations and warranties set forth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below: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of the Credit Agreement is hereby amended by amending and restating in its entirety the definition of "Issuing Bank Sublimits" contained therein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Issuing Bank Sublimits</w:t>
      </w:r>
      <w:r>
        <w:rPr>
          <w:rFonts w:ascii="Times New Roman;sans-serif" w:hAnsi="Times New Roman;sans-serif"/>
          <w:b w:val="false"/>
          <w:color w:val="000000"/>
          <w:sz w:val="22"/>
        </w:rPr>
        <w:t xml:space="preserve">" means, as of the Effective Date, (a) $10,000,000, in the case of JPMCB, and (b) such amount as shall be designated to the Administrative Agent and the Borrower Representative in writing by an Issuing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Issuing Bank shall be permitted at any time to increase or reduce its Issuing Bank Sublimit upon providing five (5) days' prior written notice thereof to the Administrative Agent and the Borrower Representative.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Section 5.01(h)</w:t>
      </w:r>
      <w:r>
        <w:rPr>
          <w:color w:val="000000"/>
        </w:rPr>
        <w:t xml:space="preserve"> </w:t>
      </w:r>
      <w:r>
        <w:rPr>
          <w:rFonts w:ascii="Times New Roman;sans-serif" w:hAnsi="Times New Roman;sans-serif"/>
          <w:b w:val="false"/>
          <w:color w:val="000000"/>
          <w:sz w:val="22"/>
        </w:rPr>
        <w:t>of the Credit Agreement is hereby amended and restated in its entirety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(h)    within 30 days of the end of each calendar month or within 3 days of the end of each week in the event that Availability falls below the greater of (i) $12,500,000 and (ii) 12.5% of the Revolving Commitment, and at such other times as may be necessary to re-determine Availability or as requested by the Administrative Agent, as of the period then ended, a Borrowing Base Certificate and supporting information in connection therewith, together with any additional reports with respect to the Borrowing Base as the Administrative Agent may reasonably request;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unless otherwise reasonably required by the Administrative Agent, weekly Borrowing Base Certificates shall contain only updated information with respect to Eligible Accounts;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Conditions to Effectiveness</w:t>
      </w:r>
      <w:r>
        <w:rPr>
          <w:rFonts w:ascii="Times New Roman;sans-serif" w:hAnsi="Times New Roman;sans-serif"/>
          <w:b w:val="false"/>
          <w:color w:val="000000"/>
          <w:sz w:val="22"/>
        </w:rPr>
        <w:t xml:space="preserve">. The effectiveness of </w:t>
      </w:r>
      <w:r>
        <w:rPr>
          <w:rFonts w:ascii="Times New Roman;sans-serif" w:hAnsi="Times New Roman;sans-serif"/>
          <w:b w:val="false"/>
          <w:color w:val="000000"/>
          <w:sz w:val="22"/>
          <w:u w:val="single"/>
        </w:rPr>
        <w:t>Section 1</w:t>
      </w:r>
      <w:r>
        <w:rPr>
          <w:color w:val="000000"/>
        </w:rPr>
        <w:t xml:space="preserve"> </w:t>
      </w:r>
      <w:r>
        <w:rPr>
          <w:rFonts w:ascii="Times New Roman;sans-serif" w:hAnsi="Times New Roman;sans-serif"/>
          <w:b w:val="false"/>
          <w:color w:val="000000"/>
          <w:sz w:val="22"/>
        </w:rPr>
        <w:t>of this Amendment is subject to the following conditions precedent: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Administrative Agent shall have received a copy of this Amendment executed by each Borrower, Administrative Agent and Required Lenders;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Administrative Agent shall have received all fees, costs and expenses due and payable as of the date hereof under the Credit Agreement and the other Loan Documents (including reasonable fees and expenses of legal counsel to the extent invoiced on or prior to the date hereof);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immediately after giving effect to this Amendment, no Default or Event of Default shall have occurred and be continuing or shall be caused by the transactions contemplated by this Amendment.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Representations and Warranties</w:t>
      </w:r>
      <w:r>
        <w:rPr>
          <w:rFonts w:ascii="Times New Roman;sans-serif" w:hAnsi="Times New Roman;sans-serif"/>
          <w:b w:val="false"/>
          <w:color w:val="000000"/>
          <w:sz w:val="22"/>
        </w:rPr>
        <w:t xml:space="preserve">. To induce Administrative Agent and the Lenders party hereto to enter into this Amendment, each of the Borrowers hereby represents and warrants to Administrative Agent and the Lenders that: (i) the execution, delivery and performance of this Amendment has been duly authorized by all requisite action on the part of such Borrower and this Amendment has been duly executed and delivered by such Borrower; (ii) immediately before and after giving effect to the consummation of the transactions contemplated by this Amendment, each of the representations and warranties of the Loan Parties set forth in the Credit Agreement and each of the other Loan Documents are true and correct in all material respects (except that such materiality qualifier shall not be applicable to any representations and warranties that already are qualified or modified by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3850"/>
                <wp:effectExtent l="0" t="0" r="0" b="0"/>
                <wp:wrapNone/>
                <wp:docPr id="39" name="Frame39"/>
                <a:graphic xmlns:a="http://schemas.openxmlformats.org/drawingml/2006/main">
                  <a:graphicData uri="http://schemas.microsoft.com/office/word/2010/wordprocessingShape">
                    <wps:wsp>
                      <wps:cNvSpPr txBox="1"/>
                      <wps:spPr>
                        <a:xfrm>
                          <a:off x="0" y="0"/>
                          <a:ext cx="6480175" cy="32385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materiality in the text thereof) as of the date hereof (except to the extent they relate to an earlier date, in which case they shall have been true and correct in all material respects (except that such materiality qualifier shall not be applicable to any representations and warranties that already are qualified or modified by materiality in the text thereof) as of such earlier date); and (iii) immediately after giving effect to this Amendment, no Default or Event of Default has occurred and is continuing.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Release</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consideration of the agreements of Administrative Agent and the Lenders contained herein and for other good and valuable consideration, the receipt and sufficiency of which is hereby acknowledged, each Borrower, on behalf of itself, each of its Subsidiaries, and each of its and their respective successors, assigns, and other legal representatives (each such Borrower and all such other Persons being hereafter referred to collectively as the "</w:t>
      </w:r>
      <w:r>
        <w:rPr>
          <w:rFonts w:ascii="Times New Roman;sans-serif" w:hAnsi="Times New Roman;sans-serif"/>
          <w:b w:val="false"/>
          <w:color w:val="000000"/>
          <w:sz w:val="22"/>
          <w:u w:val="single"/>
        </w:rPr>
        <w:t>Releasors</w:t>
      </w:r>
      <w:r>
        <w:rPr>
          <w:rFonts w:ascii="Times New Roman;sans-serif" w:hAnsi="Times New Roman;sans-serif"/>
          <w:b w:val="false"/>
          <w:color w:val="000000"/>
          <w:sz w:val="22"/>
        </w:rPr>
        <w:t>" and individually as a "</w:t>
      </w:r>
      <w:r>
        <w:rPr>
          <w:rFonts w:ascii="Times New Roman;sans-serif" w:hAnsi="Times New Roman;sans-serif"/>
          <w:b w:val="false"/>
          <w:color w:val="000000"/>
          <w:sz w:val="22"/>
          <w:u w:val="single"/>
        </w:rPr>
        <w:t>Releasor</w:t>
      </w:r>
      <w:r>
        <w:rPr>
          <w:rFonts w:ascii="Times New Roman;sans-serif" w:hAnsi="Times New Roman;sans-serif"/>
          <w:b w:val="false"/>
          <w:color w:val="000000"/>
          <w:sz w:val="22"/>
        </w:rPr>
        <w:t>"), hereby absolutely, unconditionally and irrevocably releases, remises and forever discharges Administrative Agent and the Lenders, and each of their successors and assigns, and each of their present and former shareholders, affiliates, subsidiaries, divisions, predecessors, directors, officers, attorneys, employees, agents, other representatives (Administrative Agent and the Lender and all such other Persons being hereinafter referred to collectively as the "</w:t>
      </w:r>
      <w:r>
        <w:rPr>
          <w:rFonts w:ascii="Times New Roman;sans-serif" w:hAnsi="Times New Roman;sans-serif"/>
          <w:b w:val="false"/>
          <w:color w:val="000000"/>
          <w:sz w:val="22"/>
          <w:u w:val="single"/>
        </w:rPr>
        <w:t>Releasees</w:t>
      </w:r>
      <w:r>
        <w:rPr>
          <w:rFonts w:ascii="Times New Roman;sans-serif" w:hAnsi="Times New Roman;sans-serif"/>
          <w:b w:val="false"/>
          <w:color w:val="000000"/>
          <w:sz w:val="22"/>
        </w:rPr>
        <w:t>" and individually as a "</w:t>
      </w:r>
      <w:r>
        <w:rPr>
          <w:rFonts w:ascii="Times New Roman;sans-serif" w:hAnsi="Times New Roman;sans-serif"/>
          <w:b w:val="false"/>
          <w:color w:val="000000"/>
          <w:sz w:val="22"/>
          <w:u w:val="single"/>
        </w:rPr>
        <w:t>Releasee</w:t>
      </w:r>
      <w:r>
        <w:rPr>
          <w:rFonts w:ascii="Times New Roman;sans-serif" w:hAnsi="Times New Roman;sans-serif"/>
          <w:b w:val="false"/>
          <w:color w:val="000000"/>
          <w:sz w:val="22"/>
        </w:rPr>
        <w:t>"), of and from all demands, actions, causes of action, suits, controversies, damages and any and all other claims, counterclaims, defenses, rights of set-off and liabilities whatsoever, including claims for breach of contract, (individually, a "</w:t>
      </w:r>
      <w:r>
        <w:rPr>
          <w:rFonts w:ascii="Times New Roman;sans-serif" w:hAnsi="Times New Roman;sans-serif"/>
          <w:b w:val="false"/>
          <w:color w:val="000000"/>
          <w:sz w:val="22"/>
          <w:u w:val="single"/>
        </w:rPr>
        <w:t>Claim</w:t>
      </w:r>
      <w:r>
        <w:rPr>
          <w:rFonts w:ascii="Times New Roman;sans-serif" w:hAnsi="Times New Roman;sans-serif"/>
          <w:b w:val="false"/>
          <w:color w:val="000000"/>
          <w:sz w:val="22"/>
        </w:rPr>
        <w:t>" and collectively, "</w:t>
      </w:r>
      <w:r>
        <w:rPr>
          <w:rFonts w:ascii="Times New Roman;sans-serif" w:hAnsi="Times New Roman;sans-serif"/>
          <w:b w:val="false"/>
          <w:color w:val="000000"/>
          <w:sz w:val="22"/>
          <w:u w:val="single"/>
        </w:rPr>
        <w:t>Claims</w:t>
      </w:r>
      <w:r>
        <w:rPr>
          <w:rFonts w:ascii="Times New Roman;sans-serif" w:hAnsi="Times New Roman;sans-serif"/>
          <w:b w:val="false"/>
          <w:color w:val="000000"/>
          <w:sz w:val="22"/>
        </w:rPr>
        <w:t>") of every name and nature, known or unknown, suspected or unsuspected, both at law and in equity, which any Releasor may now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Credit Agreement or any of the other Loan Documents or transactions thereunder or related thereto; provided that nothing in this paragraph shall modify, amend, or terminate the Credit Agreement, any of the other Loan Documents, or any other contract or agreement to which a Releasor is a party or of which the Releasor is a beneficiary and further provided that nothing in this paragraph shall release, remise or discharge any Releasee from liability for future performance due under any such contracts or agreements or with respect to any demand deposit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Each Releasor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Each Releasor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Severability</w:t>
      </w:r>
      <w:r>
        <w:rPr>
          <w:rFonts w:ascii="Times New Roman;sans-serif" w:hAnsi="Times New Roman;sans-serif"/>
          <w:b w:val="false"/>
          <w:color w:val="000000"/>
          <w:sz w:val="22"/>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3850"/>
                <wp:effectExtent l="0" t="0" r="0" b="0"/>
                <wp:wrapNone/>
                <wp:docPr id="40" name="Frame40"/>
                <a:graphic xmlns:a="http://schemas.openxmlformats.org/drawingml/2006/main">
                  <a:graphicData uri="http://schemas.microsoft.com/office/word/2010/wordprocessingShape">
                    <wps:wsp>
                      <wps:cNvSpPr txBox="1"/>
                      <wps:spPr>
                        <a:xfrm>
                          <a:off x="0" y="0"/>
                          <a:ext cx="6480175" cy="32385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References</w:t>
      </w:r>
      <w:r>
        <w:rPr>
          <w:rFonts w:ascii="Times New Roman;sans-serif" w:hAnsi="Times New Roman;sans-serif"/>
          <w:b w:val="false"/>
          <w:color w:val="000000"/>
          <w:sz w:val="22"/>
        </w:rPr>
        <w:t>. Any reference to the Credit Agreement contained in any Loan Document or any other document, instrument or agreement executed in connection with the Credit Agreement shall be deemed to be a reference to the Credit Agreement as modified by this Amendment.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Counterparts</w:t>
      </w:r>
      <w:r>
        <w:rPr>
          <w:rFonts w:ascii="Times New Roman;sans-serif" w:hAnsi="Times New Roman;sans-serif"/>
          <w:b w:val="false"/>
          <w:color w:val="000000"/>
          <w:sz w:val="22"/>
        </w:rPr>
        <w:t>. This Amendment may be executed in one or more counterparts, each of which shall constitute an original, but all of which taken together shall be one and the same instrument. Delivery by telecopy or electronic portable document format (</w:t>
      </w:r>
      <w:r>
        <w:rPr>
          <w:rFonts w:ascii="Times New Roman;sans-serif" w:hAnsi="Times New Roman;sans-serif"/>
          <w:b w:val="false"/>
          <w:color w:val="000000"/>
          <w:sz w:val="22"/>
          <w:u w:val="single"/>
        </w:rPr>
        <w:t>i.e.</w:t>
      </w:r>
      <w:r>
        <w:rPr>
          <w:rFonts w:ascii="Times New Roman;sans-serif" w:hAnsi="Times New Roman;sans-serif"/>
          <w:b w:val="false"/>
          <w:color w:val="000000"/>
          <w:sz w:val="22"/>
        </w:rPr>
        <w:t>, "pdf") transmission of executed signature pages hereof from one party hereto to another party hereto shall be deemed to constitute due execution and delivery by such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Ratification</w:t>
      </w:r>
      <w:r>
        <w:rPr>
          <w:rFonts w:ascii="Times New Roman;sans-serif" w:hAnsi="Times New Roman;sans-serif"/>
          <w:b w:val="false"/>
          <w:color w:val="000000"/>
          <w:sz w:val="22"/>
        </w:rPr>
        <w:t>. The terms and provisions set forth in this Amendment shall modify and supersede all inconsistent terms and provisions of the Credit Agreement and shall not be deemed to be a consent to the modification or waiver of any other term or condition of the Credit Agreement or any of the other Loan Documents. Except as expressly modified and superseded by this Amendment, the terms and provisions of the Credit Agreement are ratified and confirmed and shall continue in full force and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10.</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Amendment shall be governed by and construed in accordance with the internal laws (and not the law of conflicts) of the State of Illinois, but giving effect to federal laws applicable to national banks.</w:t>
      </w:r>
    </w:p>
    <w:p>
      <w:pPr>
        <w:pStyle w:val="TextBody"/>
        <w:bidi w:val="0"/>
        <w:spacing w:lineRule="auto" w:line="288" w:before="0" w:after="0"/>
        <w:jc w:val="center"/>
        <w:rPr>
          <w:rFonts w:ascii="Times New Roman;sans-serif" w:hAnsi="Times New Roman;sans-serif"/>
          <w:b/>
          <w:i/>
          <w:color w:val="000000"/>
          <w:sz w:val="22"/>
        </w:rPr>
      </w:pPr>
      <w:r>
        <w:rPr>
          <w:rFonts w:ascii="Times New Roman;sans-serif" w:hAnsi="Times New Roman;sans-serif"/>
          <w:b/>
          <w:i/>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3850"/>
                <wp:effectExtent l="0" t="0" r="0" b="0"/>
                <wp:wrapNone/>
                <wp:docPr id="41" name="Frame41"/>
                <a:graphic xmlns:a="http://schemas.openxmlformats.org/drawingml/2006/main">
                  <a:graphicData uri="http://schemas.microsoft.com/office/word/2010/wordprocessingShape">
                    <wps:wsp>
                      <wps:cNvSpPr txBox="1"/>
                      <wps:spPr>
                        <a:xfrm>
                          <a:off x="0" y="0"/>
                          <a:ext cx="6480175" cy="32385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and delivered by their respective duly authorized officers on the date first written above.</w:t>
      </w:r>
    </w:p>
    <w:tbl>
      <w:tblPr>
        <w:tblW w:w="3584" w:type="dxa"/>
        <w:jc w:val="left"/>
        <w:tblInd w:w="0" w:type="dxa"/>
        <w:tblLayout w:type="fixed"/>
        <w:tblCellMar>
          <w:top w:w="28" w:type="dxa"/>
          <w:left w:w="28" w:type="dxa"/>
          <w:bottom w:w="28" w:type="dxa"/>
          <w:right w:w="28" w:type="dxa"/>
        </w:tblCellMar>
      </w:tblPr>
      <w:tblGrid>
        <w:gridCol w:w="1147"/>
        <w:gridCol w:w="1008"/>
        <w:gridCol w:w="1429"/>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BORROWERS:</w:t>
              <w:br/>
              <w:br/>
              <w:t>HF FOODS GROUP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B&amp;R GLOBAL HOLDINGS,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RONGCHENG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CAPITAL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WIN WOO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R &amp; C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1145"/>
                <wp:effectExtent l="0" t="0" r="0" b="0"/>
                <wp:wrapNone/>
                <wp:docPr id="42" name="Frame42"/>
                <a:graphic xmlns:a="http://schemas.openxmlformats.org/drawingml/2006/main">
                  <a:graphicData uri="http://schemas.microsoft.com/office/word/2010/wordprocessingShape">
                    <wps:wsp>
                      <wps:cNvSpPr txBox="1"/>
                      <wps:spPr>
                        <a:xfrm>
                          <a:off x="0" y="0"/>
                          <a:ext cx="6480175" cy="2711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tbl>
      <w:tblPr>
        <w:tblW w:w="3869" w:type="dxa"/>
        <w:jc w:val="left"/>
        <w:tblInd w:w="0" w:type="dxa"/>
        <w:tblLayout w:type="fixed"/>
        <w:tblCellMar>
          <w:top w:w="28" w:type="dxa"/>
          <w:left w:w="28" w:type="dxa"/>
          <w:bottom w:w="28" w:type="dxa"/>
          <w:right w:w="28" w:type="dxa"/>
        </w:tblCellMar>
      </w:tblPr>
      <w:tblGrid>
        <w:gridCol w:w="1239"/>
        <w:gridCol w:w="1089"/>
        <w:gridCol w:w="154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GREAT WALL SEAFOOD LA,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 &amp; L TRADING,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MOUNTAIN FOOD,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MIN FOOD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MONTEREY FOOD SERVICE,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HAN FENG,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1145"/>
                <wp:effectExtent l="0" t="0" r="0" b="0"/>
                <wp:wrapNone/>
                <wp:docPr id="43" name="Frame43"/>
                <a:graphic xmlns:a="http://schemas.openxmlformats.org/drawingml/2006/main">
                  <a:graphicData uri="http://schemas.microsoft.com/office/word/2010/wordprocessingShape">
                    <wps:wsp>
                      <wps:cNvSpPr txBox="1"/>
                      <wps:spPr>
                        <a:xfrm>
                          <a:off x="0" y="0"/>
                          <a:ext cx="6480175" cy="2711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tbl>
      <w:tblPr>
        <w:tblW w:w="5130" w:type="dxa"/>
        <w:jc w:val="left"/>
        <w:tblInd w:w="0" w:type="dxa"/>
        <w:tblLayout w:type="fixed"/>
        <w:tblCellMar>
          <w:top w:w="28" w:type="dxa"/>
          <w:left w:w="28" w:type="dxa"/>
          <w:bottom w:w="28" w:type="dxa"/>
          <w:right w:w="28" w:type="dxa"/>
        </w:tblCellMar>
      </w:tblPr>
      <w:tblGrid>
        <w:gridCol w:w="1643"/>
        <w:gridCol w:w="1444"/>
        <w:gridCol w:w="2043"/>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NEW SOUTHERN FOOD DISTRIBUTORS,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KIRNLAND FOOD DISTRIBUTION, INC.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GREAT WALL SEAFOOD TX,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GREAT WALL SEAFOOD IL,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p>
            <w:pPr>
              <w:pStyle w:val="TableContents"/>
              <w:bidi w:val="0"/>
              <w:spacing w:lineRule="auto" w:line="288" w:before="0" w:after="240"/>
              <w:jc w:val="left"/>
              <w:rPr/>
            </w:pPr>
            <w:r>
              <w:rPr>
                <w:rFonts w:ascii="Times New Roman;sans-serif" w:hAnsi="Times New Roman;sans-serif"/>
                <w:b/>
                <w:color w:val="000000"/>
                <w:sz w:val="22"/>
              </w:rPr>
              <w:t>GREAT WALL SEAFOOD VA,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 &amp; R REALTY,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LUCKY REALTY,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before="0" w:after="240"/>
              <w:jc w:val="left"/>
              <w:rPr/>
            </w:pPr>
            <w:r>
              <w:rPr/>
            </w:r>
          </w:p>
          <w:p>
            <w:pPr>
              <w:pStyle w:val="TableContents"/>
              <w:bidi w:val="0"/>
              <w:spacing w:lineRule="auto" w:line="288" w:before="0" w:after="240"/>
              <w:jc w:val="left"/>
              <w:rPr/>
            </w:pPr>
            <w:r>
              <w:rPr>
                <w:rFonts w:ascii="Times New Roman;sans-serif" w:hAnsi="Times New Roman;sans-serif"/>
                <w:b/>
                <w:color w:val="000000"/>
                <w:sz w:val="22"/>
              </w:rPr>
              <w:t>GENSTAR REALTY, LLC</w:t>
              <w:br/>
            </w:r>
            <w:r>
              <w:rPr>
                <w:rFonts w:ascii="Times New Roman;sans-serif" w:hAnsi="Times New Roman;sans-serif"/>
                <w:b w:val="false"/>
                <w:color w:val="000000"/>
                <w:sz w:val="22"/>
              </w:rPr>
              <w:br/>
              <w:b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MURRAY PROPERTIES,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FORTUNE LIBERTY,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1145"/>
                <wp:effectExtent l="0" t="0" r="0" b="0"/>
                <wp:wrapNone/>
                <wp:docPr id="44" name="Frame44"/>
                <a:graphic xmlns:a="http://schemas.openxmlformats.org/drawingml/2006/main">
                  <a:graphicData uri="http://schemas.microsoft.com/office/word/2010/wordprocessingShape">
                    <wps:wsp>
                      <wps:cNvSpPr txBox="1"/>
                      <wps:spPr>
                        <a:xfrm>
                          <a:off x="0" y="0"/>
                          <a:ext cx="6480175" cy="2711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tbl>
      <w:tblPr>
        <w:tblW w:w="2670" w:type="dxa"/>
        <w:jc w:val="left"/>
        <w:tblInd w:w="0" w:type="dxa"/>
        <w:tblLayout w:type="fixed"/>
        <w:tblCellMar>
          <w:top w:w="28" w:type="dxa"/>
          <w:left w:w="28" w:type="dxa"/>
          <w:bottom w:w="28" w:type="dxa"/>
          <w:right w:w="28" w:type="dxa"/>
        </w:tblCellMar>
      </w:tblPr>
      <w:tblGrid>
        <w:gridCol w:w="853"/>
        <w:gridCol w:w="750"/>
        <w:gridCol w:w="1067"/>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A &amp; KIE,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LENFA FOOD,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BIG SEA REALTY, LLC</w:t>
              <w:br/>
              <w:br/>
              <w:br/>
            </w: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Name:</w:t>
            </w:r>
            <w:r>
              <w:rPr>
                <w:color w:val="000000"/>
                <w:u w:val="single"/>
              </w:rPr>
              <w:t>    </w:t>
            </w:r>
            <w:r>
              <w:rPr>
                <w:rFonts w:ascii="Times New Roman;sans-serif" w:hAnsi="Times New Roman;sans-serif"/>
                <w:b w:val="false"/>
                <w:color w:val="000000"/>
                <w:sz w:val="22"/>
                <w:u w:val="single"/>
              </w:rPr>
              <w:br/>
            </w:r>
            <w:r>
              <w:rPr>
                <w:rFonts w:ascii="Times New Roman;sans-serif" w:hAnsi="Times New Roman;sans-serif"/>
                <w:b w:val="false"/>
                <w:color w:val="000000"/>
                <w:sz w:val="22"/>
              </w:rPr>
              <w:t>Title:</w:t>
            </w:r>
            <w:r>
              <w:rPr>
                <w:color w:val="000000"/>
                <w:u w:val="single"/>
              </w:rPr>
              <w:t>    </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1145"/>
                <wp:effectExtent l="0" t="0" r="0" b="0"/>
                <wp:wrapNone/>
                <wp:docPr id="45" name="Frame45"/>
                <a:graphic xmlns:a="http://schemas.openxmlformats.org/drawingml/2006/main">
                  <a:graphicData uri="http://schemas.microsoft.com/office/word/2010/wordprocessingShape">
                    <wps:wsp>
                      <wps:cNvSpPr txBox="1"/>
                      <wps:spPr>
                        <a:xfrm>
                          <a:off x="0" y="0"/>
                          <a:ext cx="6480175" cy="2711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tbl>
      <w:tblPr>
        <w:tblW w:w="7290" w:type="dxa"/>
        <w:jc w:val="left"/>
        <w:tblInd w:w="0" w:type="dxa"/>
        <w:tblLayout w:type="fixed"/>
        <w:tblCellMar>
          <w:top w:w="28" w:type="dxa"/>
          <w:left w:w="28" w:type="dxa"/>
          <w:bottom w:w="28" w:type="dxa"/>
          <w:right w:w="28" w:type="dxa"/>
        </w:tblCellMar>
      </w:tblPr>
      <w:tblGrid>
        <w:gridCol w:w="2334"/>
        <w:gridCol w:w="2051"/>
        <w:gridCol w:w="2905"/>
      </w:tblGrid>
      <w:tr>
        <w:trPr/>
        <w:tc>
          <w:tcPr>
            <w:tcW w:w="2334"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JPMORGAN CHASE BANK, N.A.</w:t>
            </w:r>
            <w:r>
              <w:rPr>
                <w:rFonts w:ascii="Times New Roman;sans-serif" w:hAnsi="Times New Roman;sans-serif"/>
                <w:b w:val="false"/>
                <w:color w:val="000000"/>
                <w:sz w:val="22"/>
              </w:rPr>
              <w:t>, as Administrative Agent and a Lender</w:t>
              <w:br/>
              <w:br/>
              <w:br/>
              <w:t>By:</w:t>
              <w:br/>
              <w:t>Name:</w:t>
              <w:br/>
              <w:t>Title: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1145"/>
                <wp:effectExtent l="0" t="0" r="0" b="0"/>
                <wp:wrapNone/>
                <wp:docPr id="46" name="Frame46"/>
                <a:graphic xmlns:a="http://schemas.openxmlformats.org/drawingml/2006/main">
                  <a:graphicData uri="http://schemas.microsoft.com/office/word/2010/wordprocessingShape">
                    <wps:wsp>
                      <wps:cNvSpPr txBox="1"/>
                      <wps:spPr>
                        <a:xfrm>
                          <a:off x="0" y="0"/>
                          <a:ext cx="6480175" cy="2711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tbl>
      <w:tblPr>
        <w:tblW w:w="3374" w:type="dxa"/>
        <w:jc w:val="left"/>
        <w:tblInd w:w="0" w:type="dxa"/>
        <w:tblLayout w:type="fixed"/>
        <w:tblCellMar>
          <w:top w:w="28" w:type="dxa"/>
          <w:left w:w="28" w:type="dxa"/>
          <w:bottom w:w="28" w:type="dxa"/>
          <w:right w:w="28" w:type="dxa"/>
        </w:tblCellMar>
      </w:tblPr>
      <w:tblGrid>
        <w:gridCol w:w="1080"/>
        <w:gridCol w:w="950"/>
        <w:gridCol w:w="134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color w:val="000000"/>
                <w:sz w:val="22"/>
              </w:rPr>
              <w:t>COMERICA BANK</w:t>
            </w:r>
            <w:r>
              <w:rPr>
                <w:rFonts w:ascii="Times New Roman;sans-serif" w:hAnsi="Times New Roman;sans-serif"/>
                <w:b w:val="false"/>
                <w:color w:val="000000"/>
                <w:sz w:val="22"/>
              </w:rPr>
              <w:t>, as a Lender</w:t>
              <w:br/>
              <w:br/>
              <w:br/>
              <w:t xml:space="preserve">By: </w:t>
              <w:br/>
              <w:t>Name:</w:t>
              <w:br/>
              <w:t>Title:</w:t>
            </w:r>
          </w:p>
        </w:tc>
      </w:tr>
    </w:tbl>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1145"/>
                <wp:effectExtent l="0" t="0" r="0" b="0"/>
                <wp:wrapNone/>
                <wp:docPr id="47" name="Frame47"/>
                <a:graphic xmlns:a="http://schemas.openxmlformats.org/drawingml/2006/main">
                  <a:graphicData uri="http://schemas.microsoft.com/office/word/2010/wordprocessingShape">
                    <wps:wsp>
                      <wps:cNvSpPr txBox="1"/>
                      <wps:spPr>
                        <a:xfrm>
                          <a:off x="0" y="0"/>
                          <a:ext cx="6480175" cy="2711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Signature Page to Amendment No. 2 to Third Amended and Restated Credit Agreement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4853-9179-7201.v1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LEASE AGREEMENT BETWEEN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CH REALTY IX-NDG ATLANTA FREEMAN INTERMODAL, L.P.,</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AS LANDLORD, </w:t>
        <w:br/>
        <w:br/>
        <w:t>AND</w:t>
      </w:r>
    </w:p>
    <w:p>
      <w:pPr>
        <w:pStyle w:val="TextBody"/>
        <w:bidi w:val="0"/>
        <w:spacing w:lineRule="auto" w:line="288" w:before="0" w:after="240"/>
        <w:jc w:val="center"/>
        <w:rPr/>
      </w:pPr>
      <w:r>
        <w:rPr>
          <w:rFonts w:ascii="Times New Roman;sans-serif" w:hAnsi="Times New Roman;sans-serif"/>
          <w:b w:val="false"/>
          <w:color w:val="000000"/>
          <w:sz w:val="24"/>
        </w:rPr>
        <w:t>HF FOODS GROUP, INC.</w:t>
      </w:r>
      <w:r>
        <w:rPr>
          <w:rFonts w:ascii="Times New Roman;sans-serif" w:hAnsi="Times New Roman;sans-serif"/>
          <w:b/>
          <w:color w:val="000000"/>
          <w:sz w:val="24"/>
        </w:rPr>
        <w: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AS TENANT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DATED SEPTEMBER 30, 2024</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br/>
        <w:t xml:space="preserve">4795 INNOVATIVE WAY, </w:t>
        <w:br/>
        <w:t>POWDER SPRINGS, GEORGIA 30127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88925"/>
                <wp:effectExtent l="0" t="0" r="0" b="0"/>
                <wp:wrapNone/>
                <wp:docPr id="48" name="Frame4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BASIC LEASE INFORMATION</w:t>
      </w:r>
    </w:p>
    <w:tbl>
      <w:tblPr>
        <w:tblW w:w="10205" w:type="dxa"/>
        <w:jc w:val="left"/>
        <w:tblInd w:w="0" w:type="dxa"/>
        <w:tblLayout w:type="fixed"/>
        <w:tblCellMar>
          <w:top w:w="28" w:type="dxa"/>
          <w:left w:w="28" w:type="dxa"/>
          <w:bottom w:w="28" w:type="dxa"/>
          <w:right w:w="28" w:type="dxa"/>
        </w:tblCellMar>
      </w:tblPr>
      <w:tblGrid>
        <w:gridCol w:w="781"/>
        <w:gridCol w:w="560"/>
        <w:gridCol w:w="379"/>
        <w:gridCol w:w="854"/>
        <w:gridCol w:w="636"/>
        <w:gridCol w:w="636"/>
        <w:gridCol w:w="636"/>
        <w:gridCol w:w="636"/>
        <w:gridCol w:w="636"/>
        <w:gridCol w:w="636"/>
        <w:gridCol w:w="636"/>
        <w:gridCol w:w="636"/>
        <w:gridCol w:w="1110"/>
        <w:gridCol w:w="593"/>
        <w:gridCol w:w="840"/>
      </w:tblGrid>
      <w:tr>
        <w:trPr/>
        <w:tc>
          <w:tcPr>
            <w:tcW w:w="78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Lease Date:</w:t>
            </w:r>
          </w:p>
        </w:tc>
        <w:tc>
          <w:tcPr>
            <w:tcW w:w="848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September 30, 2024</w:t>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Landlord:</w:t>
            </w:r>
          </w:p>
        </w:tc>
        <w:tc>
          <w:tcPr>
            <w:tcW w:w="848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4"/>
              </w:rPr>
              <w:t>CH REALTY IX-NDG ATLANTA FREEMAN INTERMODAL, L.P.</w:t>
            </w:r>
            <w:r>
              <w:rPr>
                <w:rFonts w:ascii="Times New Roman;sans-serif" w:hAnsi="Times New Roman;sans-serif"/>
                <w:b w:val="false"/>
                <w:color w:val="000000"/>
                <w:sz w:val="24"/>
              </w:rPr>
              <w:t>, a Delaware limited partnership</w:t>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Tenant:</w:t>
            </w:r>
          </w:p>
        </w:tc>
        <w:tc>
          <w:tcPr>
            <w:tcW w:w="848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4"/>
              </w:rPr>
              <w:t>HF FOODS GROUP, INC.</w:t>
            </w:r>
            <w:r>
              <w:rPr>
                <w:rFonts w:ascii="Times New Roman;sans-serif" w:hAnsi="Times New Roman;sans-serif"/>
                <w:b w:val="false"/>
                <w:color w:val="000000"/>
                <w:sz w:val="24"/>
              </w:rPr>
              <w:t>, a Delaware corporation</w:t>
            </w:r>
          </w:p>
        </w:tc>
      </w:tr>
      <w:tr>
        <w:trPr/>
        <w:tc>
          <w:tcPr>
            <w:tcW w:w="17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Premises:</w:t>
            </w:r>
          </w:p>
        </w:tc>
        <w:tc>
          <w:tcPr>
            <w:tcW w:w="8485" w:type="dxa"/>
            <w:gridSpan w:val="12"/>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4"/>
              </w:rPr>
              <w:t>That certain space</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containing 181,780 rentable square feet, in the building commonly known as 4795 Innovative Way (the "</w:t>
            </w:r>
            <w:r>
              <w:rPr>
                <w:rFonts w:ascii="Times New Roman;sans-serif" w:hAnsi="Times New Roman;sans-serif"/>
                <w:b/>
                <w:color w:val="000000"/>
                <w:sz w:val="24"/>
                <w:u w:val="single"/>
              </w:rPr>
              <w:t>Building</w:t>
            </w:r>
            <w:r>
              <w:rPr>
                <w:rFonts w:ascii="Times New Roman;sans-serif" w:hAnsi="Times New Roman;sans-serif"/>
                <w:b w:val="false"/>
                <w:color w:val="000000"/>
                <w:sz w:val="24"/>
              </w:rPr>
              <w:t>"</w:t>
            </w:r>
            <w:r>
              <w:rPr>
                <w:rFonts w:ascii="Times New Roman;sans-serif" w:hAnsi="Times New Roman;sans-serif"/>
                <w:b/>
                <w:color w:val="000000"/>
                <w:sz w:val="24"/>
              </w:rPr>
              <w:t xml:space="preserve">), </w:t>
            </w:r>
            <w:r>
              <w:rPr>
                <w:rFonts w:ascii="Times New Roman;sans-serif" w:hAnsi="Times New Roman;sans-serif"/>
                <w:b w:val="false"/>
                <w:color w:val="000000"/>
                <w:sz w:val="24"/>
              </w:rPr>
              <w:t>and whose street address is 4795 Innovative Way, Powder Springs, Georgia 30127. The Premises are outlined on the plan attached to the Lease as</w:t>
            </w:r>
            <w:r>
              <w:rPr>
                <w:color w:val="000000"/>
              </w:rPr>
              <w:t xml:space="preserve">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The land on which the Building is located (the "</w:t>
            </w:r>
            <w:r>
              <w:rPr>
                <w:rFonts w:ascii="Times New Roman;sans-serif" w:hAnsi="Times New Roman;sans-serif"/>
                <w:b/>
                <w:color w:val="000000"/>
                <w:sz w:val="24"/>
                <w:u w:val="single"/>
              </w:rPr>
              <w:t>Land</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is described on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The term "</w:t>
            </w:r>
            <w:r>
              <w:rPr>
                <w:rFonts w:ascii="Times New Roman;sans-serif" w:hAnsi="Times New Roman;sans-serif"/>
                <w:b/>
                <w:color w:val="000000"/>
                <w:sz w:val="24"/>
                <w:u w:val="single"/>
              </w:rPr>
              <w:t>Project</w:t>
            </w:r>
            <w:r>
              <w:rPr>
                <w:rFonts w:ascii="Times New Roman;sans-serif" w:hAnsi="Times New Roman;sans-serif"/>
                <w:b w:val="false"/>
                <w:color w:val="000000"/>
                <w:sz w:val="24"/>
              </w:rPr>
              <w:t>" shall collectively refer to the Building, the Land and the driveways, parking facilities, loading dock areas, roadways, any rail tracks associated with the Building and similar improvements and easements associated with the foregoing or the operation thereof.</w:t>
            </w:r>
          </w:p>
        </w:tc>
      </w:tr>
      <w:tr>
        <w:trPr/>
        <w:tc>
          <w:tcPr>
            <w:tcW w:w="17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w:t>
            </w:r>
          </w:p>
        </w:tc>
        <w:tc>
          <w:tcPr>
            <w:tcW w:w="8485" w:type="dxa"/>
            <w:gridSpan w:val="12"/>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4"/>
              </w:rPr>
              <w:t>125 full calendar months, plus any partial month from the Commencement Date to the end of the month in which the Commencement Date falls, starting on the Commencement Date and ending at 5:00 p.m. local time on the last day of the 125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full calendar month following the Commencement Date, subject to adjustment and earlier termination as provided in the Lease.</w:t>
            </w:r>
          </w:p>
        </w:tc>
      </w:tr>
      <w:tr>
        <w:trPr/>
        <w:tc>
          <w:tcPr>
            <w:tcW w:w="17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Commencement Date:</w:t>
            </w:r>
          </w:p>
        </w:tc>
        <w:tc>
          <w:tcPr>
            <w:tcW w:w="848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February 1, 2025. </w:t>
            </w:r>
          </w:p>
        </w:tc>
      </w:tr>
      <w:tr>
        <w:trPr/>
        <w:tc>
          <w:tcPr>
            <w:tcW w:w="17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Basic Rent:</w:t>
            </w:r>
          </w:p>
        </w:tc>
        <w:tc>
          <w:tcPr>
            <w:tcW w:w="8485" w:type="dxa"/>
            <w:gridSpan w:val="12"/>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4"/>
              </w:rPr>
              <w:t xml:space="preserve">Subject to the conditional abatement of Basic Rent set forth in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hereto, Basic Rent shall be the following amounts for the following periods of time:</w:t>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Month</w:t>
            </w:r>
          </w:p>
        </w:tc>
        <w:tc>
          <w:tcPr>
            <w:tcW w:w="3816" w:type="dxa"/>
            <w:gridSpan w:val="6"/>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Annual Basic Rent Rate Per Rentable Square Foot</w:t>
            </w:r>
          </w:p>
        </w:tc>
        <w:tc>
          <w:tcPr>
            <w:tcW w:w="2543"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Monthly Basic Rent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88925"/>
                <wp:effectExtent l="0" t="0" r="0" b="0"/>
                <wp:wrapNone/>
                <wp:docPr id="49" name="Frame4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8"/>
        <w:gridCol w:w="419"/>
        <w:gridCol w:w="421"/>
        <w:gridCol w:w="798"/>
        <w:gridCol w:w="731"/>
        <w:gridCol w:w="717"/>
        <w:gridCol w:w="424"/>
        <w:gridCol w:w="424"/>
        <w:gridCol w:w="424"/>
        <w:gridCol w:w="424"/>
        <w:gridCol w:w="424"/>
        <w:gridCol w:w="449"/>
        <w:gridCol w:w="1191"/>
        <w:gridCol w:w="1191"/>
        <w:gridCol w:w="1690"/>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1 - 12</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$7.90</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$119,671.83</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13 - 24</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$8.20</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$124,216.33</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25 - 36</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$8.51</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$128,912.32</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37 - 48</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$8.83</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$133,759.78</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49 - 60</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$9.16</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$138,758.73</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61 - 72</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$9.50</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$143,909.17</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73 - 84</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$9.86</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$149,362.57</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85 - 96</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$10.23</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$154,967.45</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97 - 108</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$10.61</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$160,723.82</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109 - 120</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$11.00</w:t>
            </w:r>
          </w:p>
        </w:tc>
        <w:tc>
          <w:tcPr>
            <w:tcW w:w="40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$166,631.67</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121 - 125</w:t>
            </w:r>
          </w:p>
        </w:tc>
        <w:tc>
          <w:tcPr>
            <w:tcW w:w="256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$11.41</w:t>
            </w:r>
          </w:p>
        </w:tc>
        <w:tc>
          <w:tcPr>
            <w:tcW w:w="407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$172,842.48</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4"/>
              </w:rPr>
              <w:t>As used herein, the term "</w:t>
            </w:r>
            <w:r>
              <w:rPr>
                <w:rFonts w:ascii="Times New Roman;sans-serif" w:hAnsi="Times New Roman;sans-serif"/>
                <w:b/>
                <w:color w:val="000000"/>
                <w:sz w:val="24"/>
                <w:u w:val="single"/>
              </w:rPr>
              <w:t>Lease Month</w:t>
            </w:r>
            <w:r>
              <w:rPr>
                <w:rFonts w:ascii="Times New Roman;sans-serif" w:hAnsi="Times New Roman;sans-serif"/>
                <w:b w:val="false"/>
                <w:color w:val="000000"/>
                <w:sz w:val="24"/>
              </w:rPr>
              <w:t>" means each calendar month during the Term (and if the Commencement Date does not occur on the first day of a calendar month, the period from the Commencement Date to the first day of the next calendar month shall be included in the first Lease Month for which Basic Rent is payable</w:t>
            </w:r>
            <w:r>
              <w:rPr>
                <w:color w:val="000000"/>
              </w:rPr>
              <w:t xml:space="preserve"> </w:t>
            </w:r>
            <w:r>
              <w:rPr>
                <w:rFonts w:ascii="Times New Roman;sans-serif" w:hAnsi="Times New Roman;sans-serif"/>
                <w:b w:val="false"/>
                <w:color w:val="000000"/>
                <w:sz w:val="24"/>
              </w:rPr>
              <w:t>for purposes of determining the duration of the Term and the monthly Basic Rent rate applicable for such partial month).</w:t>
            </w:r>
          </w:p>
        </w:tc>
      </w:tr>
      <w:tr>
        <w:trPr/>
        <w:tc>
          <w:tcPr>
            <w:tcW w:w="131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Additional Rent:</w:t>
            </w:r>
          </w:p>
        </w:tc>
        <w:tc>
          <w:tcPr>
            <w:tcW w:w="888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Tenant's Proportionate Share of Operating Costs, Taxes and Insurance Costs.</w:t>
            </w:r>
          </w:p>
        </w:tc>
      </w:tr>
      <w:tr>
        <w:trPr/>
        <w:tc>
          <w:tcPr>
            <w:tcW w:w="131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Letter of Credit Amount:</w:t>
            </w:r>
          </w:p>
        </w:tc>
        <w:tc>
          <w:tcPr>
            <w:tcW w:w="88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Letter of Credit Amount shall be Six Hundred Twenty-Five Thousand, Three Hundred and Twenty Three Dollars ($625,323.00) which is the last three month’s Basic Rent plus three month’s estimated Additional Rent. The Letter of Credit will be renewed annually.</w:t>
            </w:r>
          </w:p>
        </w:tc>
      </w:tr>
      <w:tr>
        <w:trPr/>
        <w:tc>
          <w:tcPr>
            <w:tcW w:w="131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Rent:</w:t>
            </w:r>
          </w:p>
        </w:tc>
        <w:tc>
          <w:tcPr>
            <w:tcW w:w="888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Basic Rent, Additional Rent, and all other sums that Tenant may owe to Landlord or otherwise be required to pay under the Lease.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88925"/>
                <wp:effectExtent l="0" t="0" r="0" b="0"/>
                <wp:wrapNone/>
                <wp:docPr id="50" name="Frame5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9"/>
        <w:gridCol w:w="596"/>
        <w:gridCol w:w="502"/>
        <w:gridCol w:w="1240"/>
        <w:gridCol w:w="592"/>
        <w:gridCol w:w="592"/>
        <w:gridCol w:w="592"/>
        <w:gridCol w:w="592"/>
        <w:gridCol w:w="592"/>
        <w:gridCol w:w="1022"/>
        <w:gridCol w:w="592"/>
        <w:gridCol w:w="592"/>
        <w:gridCol w:w="592"/>
        <w:gridCol w:w="592"/>
        <w:gridCol w:w="838"/>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Permitted Use:</w:t>
            </w:r>
          </w:p>
        </w:tc>
        <w:tc>
          <w:tcPr>
            <w:tcW w:w="8428"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General industrial/warehouse use for the purpose of receiving, storing, shipping and selling (but limited to wholesale sales) products, materials and merchandise made and/or distributed by Tenant. Tenant shall be responsible for confirming that the Permitted Use complies with all applicable Laws.</w:t>
            </w:r>
          </w:p>
        </w:tc>
      </w:tr>
      <w:tr>
        <w:trPr/>
        <w:tc>
          <w:tcPr>
            <w:tcW w:w="177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Tenant's Proportionate Share:</w:t>
            </w:r>
          </w:p>
        </w:tc>
        <w:tc>
          <w:tcPr>
            <w:tcW w:w="8428"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52.4%, which is the percentage obtained by dividing (a) the number of rentable square feet in the Premises as stated above by (b) the 346,938 rentable square feet in the Building. Landlord and Tenant stipulate that the number of rentable square feet in the Premises and in the Building set forth above is conclusive and shall be binding upon them.</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Initial Liability Insurance Amount:</w:t>
            </w:r>
          </w:p>
        </w:tc>
        <w:tc>
          <w:tcPr>
            <w:tcW w:w="842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$3,000,000.</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Tenant's Address:</w:t>
            </w:r>
          </w:p>
        </w:tc>
        <w:tc>
          <w:tcPr>
            <w:tcW w:w="420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all Notices:</w:t>
              <w:br/>
              <w:t>HF Foods Group, Inc.    </w:t>
              <w:br/>
              <w:t>6325 S. Rainbow Blvd. Suite 420        </w:t>
            </w:r>
          </w:p>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Las Vegas, NV 89118    </w:t>
              <w:br/>
              <w:t>Attention: Legal Department    </w:t>
            </w:r>
          </w:p>
        </w:tc>
        <w:tc>
          <w:tcPr>
            <w:tcW w:w="422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Landlord's Address:</w:t>
            </w:r>
          </w:p>
        </w:tc>
        <w:tc>
          <w:tcPr>
            <w:tcW w:w="420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all Notices:</w:t>
            </w:r>
          </w:p>
          <w:p>
            <w:pPr>
              <w:pStyle w:val="TableContents"/>
              <w:bidi w:val="0"/>
              <w:spacing w:lineRule="auto" w:line="288" w:before="0" w:after="0"/>
              <w:jc w:val="left"/>
              <w:rPr/>
            </w:pPr>
            <w:r>
              <w:rPr>
                <w:rFonts w:ascii="Times New Roman;sans-serif" w:hAnsi="Times New Roman;sans-serif"/>
                <w:b w:val="false"/>
                <w:color w:val="000000"/>
                <w:sz w:val="24"/>
              </w:rPr>
              <w:t xml:space="preserve">CH Realty IX-NDG Atlanta Freeman Intermodal, L.P. </w:t>
              <w:br/>
              <w:t>c/o Lincoln Property Company</w:t>
            </w:r>
            <w:r>
              <w:rPr>
                <w:rFonts w:ascii="Times New Roman;sans-serif" w:hAnsi="Times New Roman;sans-serif"/>
                <w:b w:val="false"/>
                <w:i/>
                <w:color w:val="000000"/>
                <w:sz w:val="24"/>
              </w:rPr>
              <w:br/>
            </w:r>
            <w:r>
              <w:rPr>
                <w:rFonts w:ascii="Times New Roman;sans-serif" w:hAnsi="Times New Roman;sans-serif"/>
                <w:b w:val="false"/>
                <w:color w:val="000000"/>
                <w:sz w:val="24"/>
              </w:rPr>
              <w:t>3340 Peachtree Road NE, Suite 2550</w:t>
              <w:br/>
              <w:t>Atlanta, GA 30326    </w:t>
              <w:br/>
              <w:t>Attention: Property Manager</w:t>
              <w:br/>
              <w:t>Telephone: 678-561-1546</w:t>
            </w:r>
          </w:p>
        </w:tc>
        <w:tc>
          <w:tcPr>
            <w:tcW w:w="422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 Realty IX-NDG Atlanta Freeman Intermodal, L.P.</w:t>
              <w:br/>
              <w:t>3819 Maple Avenue</w:t>
              <w:br/>
              <w:t>Dallas, Texas 75219</w:t>
              <w:br/>
              <w:t>Attention: Asset Manager – 4795 Innovative Way</w:t>
              <w:br/>
              <w:t>Telephone: 214-661-8000</w:t>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Basic Lease Information is incorporated into and made a part of the Lease identified above. If any conflict exists between any Basic Lease Information and the Lease, then the Lease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88925"/>
                <wp:effectExtent l="0" t="0" r="0" b="0"/>
                <wp:wrapNone/>
                <wp:docPr id="51" name="Frame5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LIST OF DEFINED TERMS</w:t>
      </w:r>
    </w:p>
    <w:p>
      <w:pPr>
        <w:pStyle w:val="TextBody"/>
        <w:bidi w:val="0"/>
        <w:spacing w:lineRule="auto" w:line="288"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Page No.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Additional Rent    ii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Affiliate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Approval Criteria    3</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Architect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Basic Lease Information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Basic Rent    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Building    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Building's Structure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Building's Systems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Casualty    20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Code Modification    11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Commencement Date    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Completed Application for Payment    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Complex    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Construction Allowance    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Damage Notice    20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Default Rate    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Environmental Requirements    31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Estimated Delivery Date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Event of Default    22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GAAP    15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Governmental Requirements    11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 Initiatives    34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Hazardous Materials    31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including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Insurance Costs    17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Land    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Landlord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Landlord's Mortgagee    18</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Law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Laws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Lease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Lease Month    ii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Letter of Credit Amount    ii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Loss    16</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Manager    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Mortgage    17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OFAC    12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Operating Costs    3</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Operating Costs and Tax Statement    5</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Permitted Transfer    14</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88925"/>
                <wp:effectExtent l="0" t="0" r="0" b="0"/>
                <wp:wrapNone/>
                <wp:docPr id="52" name="Frame5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Permitted Transferee    14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Permitted Use    ii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Premises    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Primary Lease    17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Project    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Rent    ii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Repair Period    20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Space Plans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Space Plans Delivery Deadline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Substantial Completion    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Substantially Completed    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Sustainability Standards    34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Taking    19</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Tangible Net Worth    15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Taxes    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Telecommunications Services    29</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Tenant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Tenant Party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Tenant's Off-Premises Equipment    1</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Tenant's Proportionate Share    iii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Term    i</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Construction Costs    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Transfer    12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Work    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Working Drawings    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Working Drawings Delivery Deadline    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88925"/>
                <wp:effectExtent l="0" t="0" r="0" b="0"/>
                <wp:wrapNone/>
                <wp:docPr id="53" name="Frame5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LEASE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This Lease Agreement (this "</w:t>
      </w:r>
      <w:r>
        <w:rPr>
          <w:rFonts w:ascii="Times New Roman;sans-serif" w:hAnsi="Times New Roman;sans-serif"/>
          <w:b/>
          <w:color w:val="000000"/>
          <w:sz w:val="24"/>
          <w:u w:val="single"/>
        </w:rPr>
        <w:t>Lease</w:t>
      </w:r>
      <w:r>
        <w:rPr>
          <w:rFonts w:ascii="Times New Roman;sans-serif" w:hAnsi="Times New Roman;sans-serif"/>
          <w:b w:val="false"/>
          <w:color w:val="000000"/>
          <w:sz w:val="24"/>
        </w:rPr>
        <w:t xml:space="preserve">") is entered into as of September 30, 2024, between </w:t>
      </w:r>
      <w:r>
        <w:rPr>
          <w:rFonts w:ascii="Times New Roman;sans-serif" w:hAnsi="Times New Roman;sans-serif"/>
          <w:b/>
          <w:color w:val="000000"/>
          <w:sz w:val="24"/>
        </w:rPr>
        <w:t>CH REALTY IX-NDG ATLANTA FREEMAN INTERMODAL, L.P.</w:t>
      </w:r>
      <w:r>
        <w:rPr>
          <w:rFonts w:ascii="Times New Roman;sans-serif" w:hAnsi="Times New Roman;sans-serif"/>
          <w:b w:val="false"/>
          <w:color w:val="000000"/>
          <w:sz w:val="24"/>
        </w:rPr>
        <w:t>, a Delaware limited partnership ("</w:t>
      </w:r>
      <w:r>
        <w:rPr>
          <w:rFonts w:ascii="Times New Roman;sans-serif" w:hAnsi="Times New Roman;sans-serif"/>
          <w:b/>
          <w:color w:val="000000"/>
          <w:sz w:val="24"/>
          <w:u w:val="single"/>
        </w:rPr>
        <w:t>Landlord</w:t>
      </w:r>
      <w:r>
        <w:rPr>
          <w:rFonts w:ascii="Times New Roman;sans-serif" w:hAnsi="Times New Roman;sans-serif"/>
          <w:b w:val="false"/>
          <w:color w:val="000000"/>
          <w:sz w:val="24"/>
        </w:rPr>
        <w:t xml:space="preserve">"), and </w:t>
      </w:r>
      <w:r>
        <w:rPr>
          <w:rFonts w:ascii="Times New Roman;sans-serif" w:hAnsi="Times New Roman;sans-serif"/>
          <w:b/>
          <w:color w:val="000000"/>
          <w:sz w:val="24"/>
        </w:rPr>
        <w:t>HF FOODS GROUP, INC.</w:t>
      </w:r>
      <w:r>
        <w:rPr>
          <w:rFonts w:ascii="Times New Roman;sans-serif" w:hAnsi="Times New Roman;sans-serif"/>
          <w:b w:val="false"/>
          <w:color w:val="000000"/>
          <w:sz w:val="24"/>
        </w:rPr>
        <w:t>, a Delaware corporation ("</w:t>
      </w:r>
      <w:r>
        <w:rPr>
          <w:rFonts w:ascii="Times New Roman;sans-serif" w:hAnsi="Times New Roman;sans-serif"/>
          <w:b/>
          <w:color w:val="000000"/>
          <w:sz w:val="24"/>
          <w:u w:val="single"/>
        </w:rPr>
        <w:t>Tenant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u w:val="single"/>
        </w:rPr>
        <w:t>Definitions and Basic Provisions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definitions and basic provisions set forth in the Basic Lease Information (the "</w:t>
      </w:r>
      <w:r>
        <w:rPr>
          <w:rFonts w:ascii="Times New Roman;sans-serif" w:hAnsi="Times New Roman;sans-serif"/>
          <w:b/>
          <w:color w:val="000000"/>
          <w:sz w:val="24"/>
          <w:u w:val="single"/>
        </w:rPr>
        <w:t>Basic Lease Information</w:t>
      </w:r>
      <w:r>
        <w:rPr>
          <w:rFonts w:ascii="Times New Roman;sans-serif" w:hAnsi="Times New Roman;sans-serif"/>
          <w:b w:val="false"/>
          <w:color w:val="000000"/>
          <w:sz w:val="24"/>
        </w:rPr>
        <w:t>") set forth above are incorporated herein by reference for all purposes. Additionally, the following terms shall have the following meanings when used in this Lease: "</w:t>
      </w:r>
      <w:r>
        <w:rPr>
          <w:rFonts w:ascii="Times New Roman;sans-serif" w:hAnsi="Times New Roman;sans-serif"/>
          <w:b/>
          <w:color w:val="000000"/>
          <w:sz w:val="24"/>
          <w:u w:val="single"/>
        </w:rPr>
        <w:t>Affiliate</w:t>
      </w:r>
      <w:r>
        <w:rPr>
          <w:rFonts w:ascii="Times New Roman;sans-serif" w:hAnsi="Times New Roman;sans-serif"/>
          <w:b w:val="false"/>
          <w:color w:val="000000"/>
          <w:sz w:val="24"/>
        </w:rPr>
        <w:t>" means any person or entity which, directly or indirectly controls, is controlled by, or is under common control with the party in question; "</w:t>
      </w:r>
      <w:r>
        <w:rPr>
          <w:rFonts w:ascii="Times New Roman;sans-serif" w:hAnsi="Times New Roman;sans-serif"/>
          <w:b/>
          <w:color w:val="000000"/>
          <w:sz w:val="24"/>
          <w:u w:val="single"/>
        </w:rPr>
        <w:t>Building's Structure</w:t>
      </w:r>
      <w:r>
        <w:rPr>
          <w:rFonts w:ascii="Times New Roman;sans-serif" w:hAnsi="Times New Roman;sans-serif"/>
          <w:b w:val="false"/>
          <w:color w:val="000000"/>
          <w:sz w:val="24"/>
        </w:rPr>
        <w:t>" means the Building's exterior walls, roof, elevator shafts, footings, foundations, structural portions of load-bearing walls, structural floors and subfloors, and structural columns and beams; "</w:t>
      </w:r>
      <w:r>
        <w:rPr>
          <w:rFonts w:ascii="Times New Roman;sans-serif" w:hAnsi="Times New Roman;sans-serif"/>
          <w:b/>
          <w:color w:val="000000"/>
          <w:sz w:val="24"/>
          <w:u w:val="single"/>
        </w:rPr>
        <w:t>Building's Systems</w:t>
      </w:r>
      <w:r>
        <w:rPr>
          <w:rFonts w:ascii="Times New Roman;sans-serif" w:hAnsi="Times New Roman;sans-serif"/>
          <w:b w:val="false"/>
          <w:color w:val="000000"/>
          <w:sz w:val="24"/>
        </w:rPr>
        <w:t>" means the Building's HVAC, life-safety, plumbing, electrical, and mechanical systems; "</w:t>
      </w:r>
      <w:r>
        <w:rPr>
          <w:rFonts w:ascii="Times New Roman;sans-serif" w:hAnsi="Times New Roman;sans-serif"/>
          <w:b/>
          <w:color w:val="000000"/>
          <w:sz w:val="24"/>
          <w:u w:val="single"/>
        </w:rPr>
        <w:t>including</w:t>
      </w:r>
      <w:r>
        <w:rPr>
          <w:rFonts w:ascii="Times New Roman;sans-serif" w:hAnsi="Times New Roman;sans-serif"/>
          <w:b w:val="false"/>
          <w:color w:val="000000"/>
          <w:sz w:val="24"/>
        </w:rPr>
        <w:t>" means including, without limitation; "</w:t>
      </w:r>
      <w:r>
        <w:rPr>
          <w:rFonts w:ascii="Times New Roman;sans-serif" w:hAnsi="Times New Roman;sans-serif"/>
          <w:b/>
          <w:color w:val="000000"/>
          <w:sz w:val="24"/>
          <w:u w:val="single"/>
        </w:rPr>
        <w:t>Laws</w:t>
      </w:r>
      <w:r>
        <w:rPr>
          <w:rFonts w:ascii="Times New Roman;sans-serif" w:hAnsi="Times New Roman;sans-serif"/>
          <w:b w:val="false"/>
          <w:color w:val="000000"/>
          <w:sz w:val="24"/>
        </w:rPr>
        <w:t>" means all federal, state, and local laws, ordinances, rules and regulations, all court orders, governmental directives, and governmental orders, and all interpretations of the foregoing, and all restrictive covenants affecting this Lease or the Project, and "</w:t>
      </w:r>
      <w:r>
        <w:rPr>
          <w:rFonts w:ascii="Times New Roman;sans-serif" w:hAnsi="Times New Roman;sans-serif"/>
          <w:b/>
          <w:color w:val="000000"/>
          <w:sz w:val="24"/>
          <w:u w:val="single"/>
        </w:rPr>
        <w:t>Law</w:t>
      </w:r>
      <w:r>
        <w:rPr>
          <w:rFonts w:ascii="Times New Roman;sans-serif" w:hAnsi="Times New Roman;sans-serif"/>
          <w:b w:val="false"/>
          <w:color w:val="000000"/>
          <w:sz w:val="24"/>
        </w:rPr>
        <w:t>" means any of the foregoing; "</w:t>
      </w:r>
      <w:r>
        <w:rPr>
          <w:rFonts w:ascii="Times New Roman;sans-serif" w:hAnsi="Times New Roman;sans-serif"/>
          <w:b/>
          <w:color w:val="000000"/>
          <w:sz w:val="24"/>
          <w:u w:val="single"/>
        </w:rPr>
        <w:t>Tenant's Off-Premises Equipment</w:t>
      </w:r>
      <w:r>
        <w:rPr>
          <w:rFonts w:ascii="Times New Roman;sans-serif" w:hAnsi="Times New Roman;sans-serif"/>
          <w:b w:val="false"/>
          <w:color w:val="000000"/>
          <w:sz w:val="24"/>
        </w:rPr>
        <w:t>" means any of Tenant's equipment or other property that may be located on or about the Project (other than inside the Premises); and "</w:t>
      </w:r>
      <w:r>
        <w:rPr>
          <w:rFonts w:ascii="Times New Roman;sans-serif" w:hAnsi="Times New Roman;sans-serif"/>
          <w:b/>
          <w:color w:val="000000"/>
          <w:sz w:val="24"/>
          <w:u w:val="single"/>
        </w:rPr>
        <w:t>Tenant Party</w:t>
      </w:r>
      <w:r>
        <w:rPr>
          <w:rFonts w:ascii="Times New Roman;sans-serif" w:hAnsi="Times New Roman;sans-serif"/>
          <w:b w:val="false"/>
          <w:color w:val="000000"/>
          <w:sz w:val="24"/>
        </w:rPr>
        <w:t>" means any of the following persons: Tenant; any assignees claiming by, through, or under Tenant; any subtenants claiming by, through, or under Tenant; and any of their respective agents, contractors, employees, licensees, guests and invitees.</w:t>
      </w:r>
    </w:p>
    <w:p>
      <w:pPr>
        <w:pStyle w:val="TextBody"/>
        <w:bidi w:val="0"/>
        <w:spacing w:lineRule="auto" w:line="288"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u w:val="single"/>
        </w:rPr>
        <w:t>Lease Grant</w:t>
      </w:r>
      <w:r>
        <w:rPr>
          <w:rFonts w:ascii="Times New Roman;sans-serif" w:hAnsi="Times New Roman;sans-serif"/>
          <w:b/>
          <w:color w:val="000000"/>
          <w:sz w:val="24"/>
        </w:rPr>
        <w:t xml:space="preserve">. </w:t>
      </w:r>
      <w:r>
        <w:rPr>
          <w:rFonts w:ascii="Times New Roman;sans-serif" w:hAnsi="Times New Roman;sans-serif"/>
          <w:b w:val="false"/>
          <w:color w:val="000000"/>
          <w:sz w:val="24"/>
        </w:rPr>
        <w:t>Subject to the terms of this Lease, Landlord leases to Tenant, and Tenant leases from Landlord, the Premises. Additionally, subject to the terms of this Lease and Landlord's rules and regulations therefor, Tenant and its employees and invitees shall have a non-exclusive license to use any applicable driveways, loading dock areas, roadways, rail tracks and other similar improvements designated by Landlord from time to time as common areas for the common use and enjoyment of all tenants and occupants of the Project.</w:t>
      </w:r>
    </w:p>
    <w:p>
      <w:pPr>
        <w:pStyle w:val="TextBody"/>
        <w:bidi w:val="0"/>
        <w:spacing w:lineRule="auto" w:line="288"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u w:val="single"/>
        </w:rPr>
        <w:t>Tender of Possession; Early Entry; Access</w:t>
      </w:r>
      <w:r>
        <w:rPr>
          <w:rFonts w:ascii="Times New Roman;sans-serif" w:hAnsi="Times New Roman;sans-serif"/>
          <w:b/>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Tender of Possession</w:t>
      </w:r>
      <w:r>
        <w:rPr>
          <w:rFonts w:ascii="Times New Roman;sans-serif" w:hAnsi="Times New Roman;sans-serif"/>
          <w:b w:val="false"/>
          <w:color w:val="000000"/>
          <w:sz w:val="24"/>
        </w:rPr>
        <w:t>. Landlord and Tenant anticipate that possession of the Premises will be tendered to Tenant with the Demising Wall Work (as defined in Exhibit D-1) substantially completed (the "</w:t>
      </w:r>
      <w:r>
        <w:rPr>
          <w:rFonts w:ascii="Times New Roman;sans-serif" w:hAnsi="Times New Roman;sans-serif"/>
          <w:b/>
          <w:color w:val="000000"/>
          <w:sz w:val="24"/>
          <w:u w:val="single"/>
        </w:rPr>
        <w:t>Estimated Delivery Date</w:t>
      </w:r>
      <w:r>
        <w:rPr>
          <w:rFonts w:ascii="Times New Roman;sans-serif" w:hAnsi="Times New Roman;sans-serif"/>
          <w:b w:val="false"/>
          <w:color w:val="000000"/>
          <w:sz w:val="24"/>
        </w:rPr>
        <w:t xml:space="preserve">"). If Landlord is unable to tender possession of the Premises in such condition to Tenant by the Estimated Delivery Date, then </w:t>
      </w:r>
      <w:r>
        <w:rPr>
          <w:rFonts w:ascii="Arial;sans-serif" w:hAnsi="Arial;sans-serif"/>
          <w:b w:val="false"/>
          <w:color w:val="000000"/>
          <w:sz w:val="24"/>
        </w:rPr>
        <w:t>(1)</w:t>
      </w:r>
      <w:r>
        <w:rPr>
          <w:color w:val="000000"/>
        </w:rPr>
        <w:t> </w:t>
      </w:r>
      <w:r>
        <w:rPr>
          <w:rFonts w:ascii="Times New Roman;sans-serif" w:hAnsi="Times New Roman;sans-serif"/>
          <w:b w:val="false"/>
          <w:color w:val="000000"/>
          <w:sz w:val="24"/>
        </w:rPr>
        <w:t xml:space="preserve">the validity of this Lease shall not be affected or impaired thereby, </w:t>
      </w:r>
      <w:r>
        <w:rPr>
          <w:rFonts w:ascii="Arial;sans-serif" w:hAnsi="Arial;sans-serif"/>
          <w:b w:val="false"/>
          <w:color w:val="000000"/>
          <w:sz w:val="24"/>
        </w:rPr>
        <w:t>(2)</w:t>
      </w:r>
      <w:r>
        <w:rPr>
          <w:color w:val="000000"/>
        </w:rPr>
        <w:t> </w:t>
      </w:r>
      <w:r>
        <w:rPr>
          <w:rFonts w:ascii="Times New Roman;sans-serif" w:hAnsi="Times New Roman;sans-serif"/>
          <w:b w:val="false"/>
          <w:color w:val="000000"/>
          <w:sz w:val="24"/>
        </w:rPr>
        <w:t xml:space="preserve">Landlord shall not be in default hereunder or be liable for damages therefor, and </w:t>
      </w:r>
      <w:r>
        <w:rPr>
          <w:rFonts w:ascii="Arial;sans-serif" w:hAnsi="Arial;sans-serif"/>
          <w:b w:val="false"/>
          <w:color w:val="000000"/>
          <w:sz w:val="24"/>
        </w:rPr>
        <w:t>(3)</w:t>
      </w:r>
      <w:r>
        <w:rPr>
          <w:color w:val="000000"/>
        </w:rPr>
        <w:t> </w:t>
      </w:r>
      <w:r>
        <w:rPr>
          <w:rFonts w:ascii="Times New Roman;sans-serif" w:hAnsi="Times New Roman;sans-serif"/>
          <w:b w:val="false"/>
          <w:color w:val="000000"/>
          <w:sz w:val="24"/>
        </w:rPr>
        <w:t>Tenant shall accept possession of the Premises when Landlord tenders possession thereof to Tenant. By occupying the Premises, Tenant shall be deemed to have accepted the Premises in their condition as of the date of such occupancy, subject to the performance of punch-list items that remain to be performed by Landlord, if any. Within ten days after request by Landlord,</w:t>
      </w:r>
      <w:r>
        <w:rPr>
          <w:color w:val="000000"/>
        </w:rPr>
        <w:t xml:space="preserve"> </w:t>
      </w:r>
      <w:r>
        <w:rPr>
          <w:rFonts w:ascii="Times New Roman;sans-serif" w:hAnsi="Times New Roman;sans-serif"/>
          <w:b w:val="false"/>
          <w:color w:val="000000"/>
          <w:sz w:val="24"/>
        </w:rPr>
        <w:t xml:space="preserve">Tenant shall execute and deliver to Landlord a letter substantially in the form of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4"/>
        </w:rPr>
        <w:t xml:space="preserve">hereto confirming (1) the Commencement Date and the expiration date of the initial Term, (2) that Tenant has accepted the Premises, and (3) that Landlord has performed all of its obligations with respect to the Premises (except for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88925"/>
                <wp:effectExtent l="0" t="0" r="0" b="0"/>
                <wp:wrapNone/>
                <wp:docPr id="54" name="Frame5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punch-list items specified in such letter); however, the failure of the parties to execute such letter shall not defer the Commencement Date or otherwise invalidate this Lease. Occupancy of the Premises by Tenant prior to the Commencement Date shall be subject to all of the provisions of this Lease excepting only those requiring the payment of Basic Rent and Additional Rent. This Lease shall create the relationship of landlord and tenant between Landlord and Tenant; no estate shall pass out of Landlord, and Tenant has only a usufruct which is not subject to levy or sale. Landlord discloses to Tenant, and Tenant acknowledges, that Landlord is the owner of record of the Building and of the Premises and that CBRE, Inc. (the "</w:t>
      </w:r>
      <w:r>
        <w:rPr>
          <w:rFonts w:ascii="Times New Roman;sans-serif" w:hAnsi="Times New Roman;sans-serif"/>
          <w:b/>
          <w:color w:val="000000"/>
          <w:sz w:val="24"/>
          <w:u w:val="single"/>
        </w:rPr>
        <w:t>Manager</w:t>
      </w:r>
      <w:r>
        <w:rPr>
          <w:rFonts w:ascii="Times New Roman;sans-serif" w:hAnsi="Times New Roman;sans-serif"/>
          <w:b w:val="false"/>
          <w:color w:val="000000"/>
          <w:sz w:val="24"/>
        </w:rPr>
        <w:t>") is authorized to manage the Building and the Premises on behalf of Landlord. The address of Landlord and the address of the Manager is set forth in the Basic Lease Information. Tenant shall furnish to Landlord a certificate of occupancy (or other jurisdictional equivalent) from applicable authorities before commencing business in the Premises, and Landlord agrees to use reasonable efforts to cooperate with Tenant in obtaining same, provided Landlord shall not be required to incur any costs or expenses in connection therewith.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Early Entry</w:t>
      </w:r>
      <w:r>
        <w:rPr>
          <w:rFonts w:ascii="Times New Roman;sans-serif" w:hAnsi="Times New Roman;sans-serif"/>
          <w:b w:val="false"/>
          <w:color w:val="000000"/>
          <w:sz w:val="24"/>
        </w:rPr>
        <w:t>. From and after the date which is 10 days following the Lease Date and with Landlord's prior consent (which shall not be unreasonably withheld), Tenant may enter the Premises before possession of the Premises is tendered by Landlord to Tenant in the condition required by this Lease in order to install Tenant's racking systems, cabling or other infrastructure, and Tenant's furniture, fixtures and equipment, provided that (i) Landlord is given prior written notice of any such entry, (ii) such entry shall be coordinated with Landlord and shall not interfere with Landlord's construction activities, and (iii) Tenant shall deliver to Landlord evidence that the insurance required under Section 12(a) of this Lease has been obtained. Any such entry shall be on the terms of this Lease, but no Rent shall accrue during the period that Tenant so enters the Premises prior to the Commencement Date. Notwithstanding anything in this Lease to the contrary, upon any such early entry, any damage caused to the Premises by Tenant or a Tenant Party in connection with such early entry, including, without limitation, any damage to the Building’s Structure, shall be the responsibility of Tenant. Tenant shall conduct its activities therein so as not to interfere with Landlord's construction activities, and shall do so at its risk and expense. If, in Landlord's judgment, Tenant's activities therein interfere with Landlord's construction activities, Landlord may terminate Tenant's right to enter the Premises before the Commencement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Access</w:t>
      </w:r>
      <w:r>
        <w:rPr>
          <w:rFonts w:ascii="Times New Roman;sans-serif" w:hAnsi="Times New Roman;sans-serif"/>
          <w:b w:val="false"/>
          <w:color w:val="000000"/>
          <w:sz w:val="24"/>
        </w:rPr>
        <w:t xml:space="preserve">. Subject to the Building rules and regulations attached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hereto and the other provisions of this Lease, following the Commencement Date, Tenant will be provided access to the Premises 24 hours per day, seven days per week. If such access is unavailable due to force majeure or any other reason beyond Landlord’s control (including construction performed by parties other than Landlord which prohibits such access), Landlord shall not be in default under this </w:t>
      </w:r>
      <w:r>
        <w:rPr>
          <w:rFonts w:ascii="Times New Roman;sans-serif" w:hAnsi="Times New Roman;sans-serif"/>
          <w:b w:val="false"/>
          <w:color w:val="000000"/>
          <w:sz w:val="24"/>
          <w:u w:val="single"/>
        </w:rPr>
        <w:t>Section 3(c)</w:t>
      </w:r>
      <w:r>
        <w:rPr>
          <w:rFonts w:ascii="Times New Roman;sans-serif" w:hAnsi="Times New Roman;sans-serif"/>
          <w:b w:val="false"/>
          <w:color w:val="000000"/>
          <w:sz w:val="24"/>
        </w:rPr>
        <w:t xml:space="preserve">. If reasonable access to the Premises is unavailable preventing Tenant from making reasonable use of any substantial portion of the Premises for its intended purpose for more than 25 consecutive days following written notice from Tenant to Landlord and such unavailability was not caused by a Tenant Party, Tenant shall, as its exclusive remedy therefor, be entitled to a reasonable abatement of Rent for each consecutive day (immediately following such 25-day period,) that Tenant is so prevented from making reasonable use of such portion of the Premises based on the area thereof; however, in no event shall the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88925"/>
                <wp:effectExtent l="0" t="0" r="0" b="0"/>
                <wp:wrapNone/>
                <wp:docPr id="55" name="Frame5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amount of any abatement permitted under this </w:t>
      </w:r>
      <w:r>
        <w:rPr>
          <w:rFonts w:ascii="Times New Roman;sans-serif" w:hAnsi="Times New Roman;sans-serif"/>
          <w:b w:val="false"/>
          <w:color w:val="000000"/>
          <w:sz w:val="24"/>
          <w:u w:val="single"/>
        </w:rPr>
        <w:t>Section 3(c)</w:t>
      </w:r>
      <w:r>
        <w:rPr>
          <w:color w:val="000000"/>
        </w:rPr>
        <w:t xml:space="preserve"> </w:t>
      </w:r>
      <w:r>
        <w:rPr>
          <w:rFonts w:ascii="Times New Roman;sans-serif" w:hAnsi="Times New Roman;sans-serif"/>
          <w:b w:val="false"/>
          <w:color w:val="000000"/>
          <w:sz w:val="24"/>
        </w:rPr>
        <w:t>exceed the net insurance proceeds received by Landlord (less any deductibles and amounts payable to third-parties) derived from such unavailability, if any.</w:t>
      </w:r>
    </w:p>
    <w:p>
      <w:pPr>
        <w:pStyle w:val="TextBody"/>
        <w:bidi w:val="0"/>
        <w:spacing w:lineRule="auto" w:line="288"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Rent</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Tenant shall timely pay to Landlord Rent, without notice, demand, deduction or set off (except as otherwise expressly provided herein), by good and sufficient check drawn on a national banking association at Landlord's address provided for in this Lease or as otherwise specified by Landlord and shall be accompanied by all applicable state and local sales or use taxes. The obligations of Tenant to pay Rent to Landlord and the obligations of Landlord under this Lease are independent obligations. Rent shall be payable monthly in advance. The first monthly installment of Basic Rent shall be payable contemporaneously with the execution of this Lease; thereafter, Basic Rent shall be payable on the first day of each month beginning on the first day of the 6</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Lease Month. The monthly Rent for any partial month at the beginning of the Term shall equal the product of 1/365 of the annual Basic Rent (and Additional Rent) in effect during the partial month and the number of days in the partial month, and shall be due on the Commencement Date. Payments of Rent for any fractional calendar month at the end of the Term shall be similarly prorated.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Operating Costs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Tenant shall pay to Landlord Tenant's Proportionate Share of the annual Operating Costs (defined below). Prior to each calendar year of the Term, Landlord shall make a good faith estimate of Tenant's Proportionate Share of Operating Costs for the following calendar year or part thereof during the Term. During each calendar year or partial calendar year of the Term, Tenant shall pay to Landlord, in advance concurrently with each monthly installment of Basic Rent, an amount equal to the estimated Tenant's Proportionate Share of Operating Costs for such calendar year or part thereof divided by the number of months therein. From time to time, Landlord may re-estimate the amount of Tenant's Proportionate Share of Operating Costs to be due by Tenant and deliver a copy of the re-estimate to Tenant. Thereafter, the monthly installments of Tenant's Proportionate Share of Operating Costs shall be adjusted in accordance with the estimations so that, by the end of the calendar year in question, Tenant shall have paid all of Tenant's Proportionate Share of Operating Costs as estimated by Landlord. Any amounts paid based on such an estimate shall be subject to adjustment as herein provided when actual Operating Costs are available for each calendar year.</w:t>
      </w:r>
    </w:p>
    <w:p>
      <w:pPr>
        <w:pStyle w:val="TextBody"/>
        <w:bidi w:val="0"/>
        <w:spacing w:lineRule="auto" w:line="288" w:before="0" w:after="240"/>
        <w:ind w:left="0" w:right="0" w:firstLine="1214"/>
        <w:jc w:val="both"/>
        <w:rPr/>
      </w:pPr>
      <w:r>
        <w:rPr>
          <w:rFonts w:ascii="Times New Roman;sans-serif" w:hAnsi="Times New Roman;sans-serif"/>
          <w:b w:val="false"/>
          <w:color w:val="000000"/>
          <w:sz w:val="24"/>
        </w:rPr>
        <w:t>(i)The term "</w:t>
      </w:r>
      <w:r>
        <w:rPr>
          <w:rFonts w:ascii="Times New Roman;sans-serif" w:hAnsi="Times New Roman;sans-serif"/>
          <w:b/>
          <w:color w:val="000000"/>
          <w:sz w:val="24"/>
          <w:u w:val="single"/>
        </w:rPr>
        <w:t>Operating Costs</w:t>
      </w:r>
      <w:r>
        <w:rPr>
          <w:rFonts w:ascii="Times New Roman;sans-serif" w:hAnsi="Times New Roman;sans-serif"/>
          <w:b w:val="false"/>
          <w:color w:val="000000"/>
          <w:sz w:val="24"/>
        </w:rPr>
        <w:t xml:space="preserve">" means all expenses and disbursements (subject to the limitations set forth below) that Landlord incurs in connection with the ownership, operation, and maintenance of the Project, determined in accordance with sound accounting principles consistently applied, including the following costs: (A) wages and salaries of all on-site employees at or below the grade of senior building manager, engaged in the operation, maintenance or security of the Project (together with Landlord's reasonable allocation of expenses of off-site employees at or below the grade of senior building manager who perform a portion of their services in connection with the operation, maintenance or security of the Project), including taxes, insurance and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88925"/>
                <wp:effectExtent l="0" t="0" r="0" b="0"/>
                <wp:wrapNone/>
                <wp:docPr id="56" name="Frame5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relating thereto; (B) all supplies and materials used in the operation, maintenance, repair, replacement, and security of the Project; (C) cost of all utilities (including fuel, gas, electricity, water, sewer, and other services) for the common areas and other non-tenant areas of the Project (e.g., mechanical, electrical and telecommunications rooms) as reasonably determined by Landlord; (D) repairs, replacements, and general maintenance of the Project including paving and parking areas, roads, roof repairs (Landlord is responsible for replacement of the roof as provided in Section </w:t>
      </w:r>
      <w:r>
        <w:rPr>
          <w:rFonts w:ascii="Times New Roman;sans-serif" w:hAnsi="Times New Roman;sans-serif"/>
          <w:b w:val="false"/>
          <w:color w:val="000000"/>
          <w:sz w:val="22"/>
        </w:rPr>
        <w:t>7</w:t>
      </w:r>
      <w:r>
        <w:rPr>
          <w:rFonts w:ascii="Times New Roman;sans-serif" w:hAnsi="Times New Roman;sans-serif"/>
          <w:b w:val="false"/>
          <w:color w:val="000000"/>
          <w:sz w:val="24"/>
        </w:rPr>
        <w:t>), alleys and driveways, trash collection, sweeping and removal of trash for the common areas, mowing and snow removal, landscaping and exterior painting, the cost of maintaining utility lines, fire sprinklers and fire protection systems, exterior lighting, and mechanical and plumbing systems serving the Project and, to the extent the following items serve more than one tenant in the Project, dock doors, drains and sump pumps; (E) [intentionally omitted]; (F) service, maintenance and management contracts with independent contractors for the operation, maintenance, management, repair, replacement, and security of the Project (including alarm service, window cleaning, and elevator maintenance); (G) reasonable costs of professional services rendered for the general benefit of the Project; (H) environmental insurance or environmental management fees; (I) the cost of any insurance deductibles for insurance required to be maintained by Landlord; and (J)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capital improvements made in order to comply with any Law hereafter promulgated by any governmental authority or any new interpretations of any Law hereafter rendered with respect to any existing Law, as amortized using a commercially reasonable interest rate over the useful economic life of such improvements as determined by Landlord in its reasonable discretion. If the Project is part of an industrial park complex (the "</w:t>
      </w:r>
      <w:r>
        <w:rPr>
          <w:rFonts w:ascii="Times New Roman;sans-serif" w:hAnsi="Times New Roman;sans-serif"/>
          <w:b/>
          <w:color w:val="000000"/>
          <w:sz w:val="24"/>
          <w:u w:val="single"/>
        </w:rPr>
        <w:t>Complex</w:t>
      </w:r>
      <w:r>
        <w:rPr>
          <w:rFonts w:ascii="Times New Roman;sans-serif" w:hAnsi="Times New Roman;sans-serif"/>
          <w:b w:val="false"/>
          <w:color w:val="000000"/>
          <w:sz w:val="24"/>
        </w:rPr>
        <w:t>"), Operating Costs, Taxes (defined below) and Insurance Costs (defined below) for the Complex may be prorated among the Project and the other buildings of the Complex, as reasonably determined by Landlord.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Operating Costs shall not include costs for (i) capital improvements made to the Project, other than capital improvements described in Section </w:t>
      </w:r>
      <w:r>
        <w:rPr>
          <w:rFonts w:ascii="Times New Roman;sans-serif" w:hAnsi="Times New Roman;sans-serif"/>
          <w:b w:val="false"/>
          <w:color w:val="000000"/>
          <w:sz w:val="22"/>
        </w:rPr>
        <w:t>4(b)(2)(J)</w:t>
      </w:r>
      <w:r>
        <w:rPr>
          <w:color w:val="000000"/>
        </w:rPr>
        <w:t xml:space="preserve"> </w:t>
      </w:r>
      <w:r>
        <w:rPr>
          <w:rFonts w:ascii="Times New Roman;sans-serif" w:hAnsi="Times New Roman;sans-serif"/>
          <w:b w:val="false"/>
          <w:color w:val="000000"/>
          <w:sz w:val="24"/>
        </w:rPr>
        <w:t>and except for items which are generally considered maintenance and repair items, such as painting of common areas, replacement of carpet in elevator lobbies (if any), and the like; (ii) repair, replacements and general maintenance paid by proceeds of insurance or by Tenant or other third parties; (iii) interest, amortization or other payments on loans to Landlord; (iv) depreciation; (v) leasing commissions; (vi) legal expenses for services, other than those that benefit the Project tenants generally (e.g., tax disputes); (vii) Taxes; (viii) Insurance Costs; and (ix) renovating or otherwise improving space for occupants of the Project or vacant space in the Project.</w:t>
      </w:r>
    </w:p>
    <w:p>
      <w:pPr>
        <w:pStyle w:val="TextBody"/>
        <w:bidi w:val="0"/>
        <w:spacing w:lineRule="auto" w:line="288"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(ii)Tenant shall also pay Tenant's Proportionate Share of the Taxes for each year and partial year falling within the Term. Tenant shall pay Tenant's Proportionate Share of Taxes in the same manner as provided above for Tenant's Proportionate Share of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88925"/>
                <wp:effectExtent l="0" t="0" r="0" b="0"/>
                <wp:wrapNone/>
                <wp:docPr id="57" name="Frame5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Operating Costs. "</w:t>
      </w:r>
      <w:r>
        <w:rPr>
          <w:rFonts w:ascii="Times New Roman;sans-serif" w:hAnsi="Times New Roman;sans-serif"/>
          <w:b/>
          <w:color w:val="000000"/>
          <w:sz w:val="24"/>
          <w:u w:val="single"/>
        </w:rPr>
        <w:t>Taxes</w:t>
      </w:r>
      <w:r>
        <w:rPr>
          <w:rFonts w:ascii="Times New Roman;sans-serif" w:hAnsi="Times New Roman;sans-serif"/>
          <w:b w:val="false"/>
          <w:color w:val="000000"/>
          <w:sz w:val="24"/>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its operation excluding, however, penalties and interest thereon and federal and state taxes on income (if the present method of taxation changes so that in lieu of or in addition to the whole or any part of any Taxes, there is levied on Landlord a capital tax, sales tax, or use tax directly on the rents received therefrom or a franchise tax, assessment, or charge based, in whole or in part, upon such rents for the Project, then all such taxes, assessments, or charges, or the part thereof so based, shall be deemed to be included within the term "Taxes" for purposes hereof). Taxes shall include the reasonable costs of consultants retained in an effort to lower taxes and all costs incurred in disputing any taxes or in seeking to lower the tax valuation of the Project. As of the Lease Date, the Project may benefit from certain state and local tax incentives from the Development Authority of Powder Springs, a public body corporate and politic created and existing under the laws of the State of Georgia (the “</w:t>
      </w:r>
      <w:r>
        <w:rPr>
          <w:rFonts w:ascii="Times New Roman;sans-serif" w:hAnsi="Times New Roman;sans-serif"/>
          <w:b/>
          <w:color w:val="000000"/>
          <w:sz w:val="24"/>
          <w:u w:val="single"/>
        </w:rPr>
        <w:t>Development Authority</w:t>
      </w:r>
      <w:r>
        <w:rPr>
          <w:color w:val="000000"/>
        </w:rPr>
        <w:t>”</w:t>
      </w:r>
      <w:r>
        <w:rPr>
          <w:rFonts w:ascii="Times New Roman;sans-serif" w:hAnsi="Times New Roman;sans-serif"/>
          <w:b w:val="false"/>
          <w:color w:val="000000"/>
          <w:sz w:val="24"/>
        </w:rPr>
        <w:t>), related to the development of the Project and the satisfaction of certain employment opportunity requirements (the “</w:t>
      </w:r>
      <w:r>
        <w:rPr>
          <w:rFonts w:ascii="Times New Roman;sans-serif" w:hAnsi="Times New Roman;sans-serif"/>
          <w:b/>
          <w:color w:val="000000"/>
          <w:sz w:val="24"/>
          <w:u w:val="single"/>
        </w:rPr>
        <w:t>Tax Incentives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333333"/>
          <w:sz w:val="24"/>
          <w:shd w:fill="FFFFFF" w:val="clear"/>
        </w:rPr>
        <w:t>In furtherance thereof, Landlord is required to provide information, including a copy of this Lease and historical and current employment data regarding Tenant’s business operations within the Project, Building and Premises to the Development Authority or other certification body or agency in order to demonstrate compliance with various program requirements. Tenant agrees that throughout the Term: (i) Landlord may furnish a copy of this Lease and other information provided from Tenant to Landlord as reasonably necessary to comply with qualification requirements related to the Tax Incentives; and (ii) Tenant shall cooperate reasonably and in good faith to maintain and provide Landlord with historical and current employment data regarding Tenant’s business operations within the Project, Building and Premises as Landlord shall reasonably require in order to comply with such reporting requirements to the Development Authority, including the monthly average number of fulltime jobs provided by Tenant at the Project during the immediately preceding calendar year and shall provide such supporting extracts from Tenant’s employment or other records as Landlord and Development Authority shall reasonably request and that Tenant may provide consistent with the privacy rights of its employees. Tenant's Proportionate Share of the Taxes shall be based upon the fully assessed amount of Taxes and if any Tax Incentive actually received by Landlord based on acceptance of the calculation by the Development Authority reduces the amount owed by Tenant, then Landlord shall promptly credit or reimburse Tenant for such excess.</w:t>
      </w:r>
    </w:p>
    <w:p>
      <w:pPr>
        <w:pStyle w:val="TextBody"/>
        <w:bidi w:val="0"/>
        <w:spacing w:lineRule="auto" w:line="288" w:before="0" w:after="240"/>
        <w:ind w:left="0" w:right="0" w:firstLine="1081"/>
        <w:jc w:val="both"/>
        <w:rPr/>
      </w:pPr>
      <w:r>
        <w:rPr>
          <w:rFonts w:ascii="Times New Roman;sans-serif" w:hAnsi="Times New Roman;sans-serif"/>
          <w:b w:val="false"/>
          <w:color w:val="000000"/>
          <w:sz w:val="24"/>
        </w:rPr>
        <w:t>(iii)By April 1 of each calendar year, or as soon thereafter as practicable, Landlord shall furnish to Tenant a statement of Operating Costs and Taxes for the previous year (the "</w:t>
      </w:r>
      <w:r>
        <w:rPr>
          <w:rFonts w:ascii="Times New Roman;sans-serif" w:hAnsi="Times New Roman;sans-serif"/>
          <w:b/>
          <w:color w:val="000000"/>
          <w:sz w:val="24"/>
          <w:u w:val="single"/>
        </w:rPr>
        <w:t>Operating Costs and Tax Statement</w:t>
      </w:r>
      <w:r>
        <w:rPr>
          <w:rFonts w:ascii="Times New Roman;sans-serif" w:hAnsi="Times New Roman;sans-serif"/>
          <w:b w:val="false"/>
          <w:color w:val="000000"/>
          <w:sz w:val="24"/>
        </w:rPr>
        <w:t>"). If Tenant's estimated payments of Operating Costs or Taxes under this Section </w:t>
      </w:r>
      <w:r>
        <w:rPr>
          <w:rFonts w:ascii="Times New Roman;sans-serif" w:hAnsi="Times New Roman;sans-serif"/>
          <w:b w:val="false"/>
          <w:color w:val="000000"/>
          <w:sz w:val="22"/>
        </w:rPr>
        <w:t>4(b)</w:t>
      </w:r>
      <w:r>
        <w:rPr>
          <w:color w:val="000000"/>
        </w:rPr>
        <w:t xml:space="preserve"> </w:t>
      </w:r>
      <w:r>
        <w:rPr>
          <w:rFonts w:ascii="Times New Roman;sans-serif" w:hAnsi="Times New Roman;sans-serif"/>
          <w:b w:val="false"/>
          <w:color w:val="000000"/>
          <w:sz w:val="24"/>
        </w:rPr>
        <w:t xml:space="preserve">for the year covered by the Operating Costs and Tax Statement exceed Tenant's Proportionate Share of such items as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88925"/>
                <wp:effectExtent l="0" t="0" r="0" b="0"/>
                <wp:wrapNone/>
                <wp:docPr id="58" name="Frame5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indicated in the Operating Costs and Tax Statement, then Landlord shall promptly credit or reimburse Tenant for such excess; likewise, if Tenant's estimated payments of Operating Costs or Taxes under this Section </w:t>
      </w:r>
      <w:r>
        <w:rPr>
          <w:rFonts w:ascii="Times New Roman;sans-serif" w:hAnsi="Times New Roman;sans-serif"/>
          <w:b w:val="false"/>
          <w:color w:val="000000"/>
          <w:sz w:val="22"/>
        </w:rPr>
        <w:t>4(b)</w:t>
      </w:r>
      <w:r>
        <w:rPr>
          <w:color w:val="000000"/>
        </w:rPr>
        <w:t xml:space="preserve"> </w:t>
      </w:r>
      <w:r>
        <w:rPr>
          <w:rFonts w:ascii="Times New Roman;sans-serif" w:hAnsi="Times New Roman;sans-serif"/>
          <w:b w:val="false"/>
          <w:color w:val="000000"/>
          <w:sz w:val="24"/>
        </w:rPr>
        <w:t>for such year are less than Tenant's Proportionate Share of such items as indicated in the Operating Costs and Tax Statement, then Tenant shall promptly pay Landlord such deficiency.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Inspection and Audit Rights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214"/>
        <w:jc w:val="both"/>
        <w:rPr/>
      </w:pPr>
      <w:r>
        <w:rPr>
          <w:rFonts w:ascii="Times New Roman;sans-serif" w:hAnsi="Times New Roman;sans-serif"/>
          <w:b w:val="false"/>
          <w:color w:val="000000"/>
          <w:sz w:val="24"/>
        </w:rPr>
        <w:t>(i)Provided that no Event of Default is then outstanding, Tenant shall have the right to inspect, at reasonable times and in a reasonable manner, during the sixty (60) day period following the delivery of the Operating Costs and Tax Statement (the "</w:t>
      </w:r>
      <w:r>
        <w:rPr>
          <w:rFonts w:ascii="Times New Roman;sans-serif" w:hAnsi="Times New Roman;sans-serif"/>
          <w:b/>
          <w:color w:val="000000"/>
          <w:sz w:val="24"/>
          <w:u w:val="single"/>
        </w:rPr>
        <w:t>Inspection Period</w:t>
      </w:r>
      <w:r>
        <w:rPr>
          <w:rFonts w:ascii="Times New Roman;sans-serif" w:hAnsi="Times New Roman;sans-serif"/>
          <w:b w:val="false"/>
          <w:color w:val="000000"/>
          <w:sz w:val="24"/>
        </w:rPr>
        <w:t xml:space="preserve">"), such of Landlord's books of account and records as pertain to and contain information concerning the Operating Costs and Taxes for the prior calendar year in order to verify the amounts thereof. Such inspection shall take place at Landlord's office upon at least fifteen (15) days prior written notice from Tenant to Landlord. Tenant shall also agree to follow Landlord's reasonable procedures for auditing such books and records. Landlord and Tenant shall act reasonably in assessing the other party's calculation of the Operating Costs and Taxes. Tenant shall provide Landlord with a copy of its findings within thirty (30) days after completion of the audit. Tenant's failure to exercise its rights hereunder within the Inspection Period shall be deemed a waiver of its right to inspect or contest the method, accuracy or amount of such Operating Costs and Taxes. </w:t>
      </w:r>
    </w:p>
    <w:p>
      <w:pPr>
        <w:pStyle w:val="TextBody"/>
        <w:bidi w:val="0"/>
        <w:spacing w:lineRule="auto" w:line="288"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(ii)If Landlord's calculation of the Operating Costs and Taxes or Tenant's Proportionate Share thereof for the inspected calendar year was incorrect, the parties shall enter into a written agreement confirming such undisputed error and then Landlord shall make a correcting payment in full to Tenant within thirty (30) days after the determination of the amount of such error or credit such amount against future Additional Rent if Tenant overpaid such amount, and Tenant shall pay Landlord within thirty (30) days after the determination of such error if Tenant underpaid such amount. In the event of any errors on the part of Landlord that cost Tenant in excess of $5,000, Landlord will also reimburse Tenant for the costs of an audit reasonably incurred by Tenant (not to exceed $5,000) within the above thirty (30) day period. If Tenant provides Landlord with written notice disputing the correctness of Landlord's statement, and if such dispute shall have not been settled by agreement within thirty (30) days after Tenant provides Landlord with such written notice, Tenant may submit the dispute to a reputable firm of independent certified public accountants selected by Tenant and approved by Landlord, and the decision of such accountants shall be conclusive and binding upon the parties. If such accountant decides that there was an error, Landlord will make correcting payment if Tenant overpaid such amount, and Tenant shall pay Landlord if Tenant underpaid such amount. The fees and expenses involved in such decision shall be borne by the party required to pay for the audit.</w:t>
      </w:r>
    </w:p>
    <w:p>
      <w:pPr>
        <w:pStyle w:val="TextBody"/>
        <w:bidi w:val="0"/>
        <w:spacing w:lineRule="auto" w:line="288" w:before="0" w:after="240"/>
        <w:ind w:left="0" w:right="0" w:firstLine="1081"/>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(iii)Tenant shall maintain the results of each such audit or inspection confidential and shall not be permitted to use any third party to perform such audit or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88925"/>
                <wp:effectExtent l="0" t="0" r="0" b="0"/>
                <wp:wrapNone/>
                <wp:docPr id="59" name="Frame5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inspection, other than an independent firm of certified public accountants (1) reasonably acceptable to Landlord, (2) which is not compensated on a contingency fee basis or in any other manner which is dependent upon the results of such audit or inspection (and Tenant shall deliver the fee agreement or other similar evidence of such fee arrangement to Landlord upon request), and (3) which agrees with Landlord in writing to maintain the results of such audit or inspection confidential. Nothing in this Section 4(c) shall be construed to limit, suspend or abate Tenant's obligation to pay Rent when due, including Additional Rent.</w:t>
      </w:r>
    </w:p>
    <w:p>
      <w:pPr>
        <w:pStyle w:val="TextBody"/>
        <w:bidi w:val="0"/>
        <w:spacing w:lineRule="auto" w:line="288"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u w:val="single"/>
        </w:rPr>
        <w:t>Delinquent Payment; Handling Charges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All payments required of Tenant hereunder not received within three (3) business days of the date due shall bear interest from the date due until paid at the lesser of eighteen percent per annum or the maximum lawful rate of interest (such lesser amount is referred to herein as the "</w:t>
      </w:r>
      <w:r>
        <w:rPr>
          <w:rFonts w:ascii="Times New Roman;sans-serif" w:hAnsi="Times New Roman;sans-serif"/>
          <w:b/>
          <w:color w:val="000000"/>
          <w:sz w:val="24"/>
          <w:u w:val="single"/>
        </w:rPr>
        <w:t>Default Rate</w:t>
      </w:r>
      <w:r>
        <w:rPr>
          <w:rFonts w:ascii="Times New Roman;sans-serif" w:hAnsi="Times New Roman;sans-serif"/>
          <w:b w:val="false"/>
          <w:color w:val="000000"/>
          <w:sz w:val="24"/>
        </w:rPr>
        <w:t xml:space="preserve">"); additionally, Landlord, in addition to all other rights and remedies available to it, may charge Tenant a fee equal to the greater of </w:t>
      </w:r>
      <w:r>
        <w:rPr>
          <w:rFonts w:ascii="Arial;sans-serif" w:hAnsi="Arial;sans-serif"/>
          <w:b w:val="false"/>
          <w:color w:val="000000"/>
          <w:sz w:val="24"/>
        </w:rPr>
        <w:t>(a)</w:t>
      </w:r>
      <w:r>
        <w:rPr>
          <w:color w:val="000000"/>
        </w:rPr>
        <w:t> </w:t>
      </w:r>
      <w:r>
        <w:rPr>
          <w:rFonts w:ascii="Times New Roman;sans-serif" w:hAnsi="Times New Roman;sans-serif"/>
          <w:b w:val="false"/>
          <w:color w:val="000000"/>
          <w:sz w:val="24"/>
        </w:rPr>
        <w:t xml:space="preserve">$50.00 or </w:t>
      </w:r>
      <w:r>
        <w:rPr>
          <w:rFonts w:ascii="Arial;sans-serif" w:hAnsi="Arial;sans-serif"/>
          <w:b w:val="false"/>
          <w:color w:val="000000"/>
          <w:sz w:val="24"/>
        </w:rPr>
        <w:t>(b)</w:t>
      </w:r>
      <w:r>
        <w:rPr>
          <w:color w:val="000000"/>
        </w:rPr>
        <w:t> </w:t>
      </w:r>
      <w:r>
        <w:rPr>
          <w:rFonts w:ascii="Times New Roman;sans-serif" w:hAnsi="Times New Roman;sans-serif"/>
          <w:b w:val="false"/>
          <w:color w:val="000000"/>
          <w:sz w:val="24"/>
        </w:rPr>
        <w:t>five percent of the delinquent payment to reimburse Landlord for its cost and inconvenience incurred as a consequence of Tenant's delinquency. In no event, however, shall the charges permitted under this Section </w:t>
      </w:r>
      <w:r>
        <w:rPr>
          <w:rFonts w:ascii="Times New Roman;sans-serif" w:hAnsi="Times New Roman;sans-serif"/>
          <w:b w:val="false"/>
          <w:color w:val="000000"/>
          <w:sz w:val="22"/>
        </w:rPr>
        <w:t>5</w:t>
      </w:r>
      <w:r>
        <w:rPr>
          <w:color w:val="000000"/>
        </w:rPr>
        <w:t xml:space="preserve"> </w:t>
      </w:r>
      <w:r>
        <w:rPr>
          <w:rFonts w:ascii="Times New Roman;sans-serif" w:hAnsi="Times New Roman;sans-serif"/>
          <w:b w:val="false"/>
          <w:color w:val="000000"/>
          <w:sz w:val="24"/>
        </w:rPr>
        <w:t>or elsewhere in this Lease, to the extent they are considered to be interest under applicable Law, exceed the maximum lawful rate of interest. Notwithstanding the foregoing, the late fee referenced above shall not be charged with respect to the first occurrence (but not any subsequent occurrence) during any 12-month period that Tenant fails to make payment within three (3) business days of the date due, until five days after Landlord delivers written notice of such delinquency to Tenant.</w:t>
      </w:r>
    </w:p>
    <w:p>
      <w:pPr>
        <w:pStyle w:val="TextBody"/>
        <w:bidi w:val="0"/>
        <w:spacing w:lineRule="auto" w:line="288"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u w:val="single"/>
        </w:rPr>
        <w:t>Security Deposit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[Intentionally Omitted].</w:t>
      </w:r>
    </w:p>
    <w:p>
      <w:pPr>
        <w:pStyle w:val="TextBody"/>
        <w:bidi w:val="0"/>
        <w:spacing w:lineRule="auto" w:line="288"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u w:val="single"/>
        </w:rPr>
        <w:t>Landlord's Maintenance Obligations</w:t>
      </w:r>
      <w:r>
        <w:rPr>
          <w:rFonts w:ascii="Times New Roman;sans-serif" w:hAnsi="Times New Roman;sans-serif"/>
          <w:b/>
          <w:color w:val="000000"/>
          <w:sz w:val="24"/>
        </w:rPr>
        <w:t xml:space="preserve">. </w:t>
      </w:r>
      <w:r>
        <w:rPr>
          <w:rFonts w:ascii="Times New Roman;sans-serif" w:hAnsi="Times New Roman;sans-serif"/>
          <w:b w:val="false"/>
          <w:color w:val="000000"/>
          <w:sz w:val="24"/>
        </w:rPr>
        <w:t>This Lease is intended to be a net lease; accordingly, Landlord's maintenance obligations are limited to (a) the replacement of the Building's Structure at Landlord’s cost, and (b) the maintenance and repair of the Building’s Structure as Operating Costs; Landlord shall not be responsible for any such work until Tenant notifies Landlord of the need therefor in writing. The Building's Structure does not include skylights, windows, glass or plate glass, doors or overhead doors, special fronts, or office entries, dock bumpers, dock plates or levelers, loading areas and docks, and loading dock equipment, all of which shall be maintained by Tenant. Landlord's liability for any defects, repairs, replacement or maintenance for which Landlord is specifically responsible for under this Lease shall be limited to the cost of performing the work. Additionally, Landlord shall maintain the parking areas, and other common areas of the Building, including driveways, alleys, landscape and grounds surrounding the Premises and utility lines in a good condition, consistent with the operation of a bulk warehouse/industrial or service center facility, including maintenance, repair, and replacement of any rail tracks serving the Premises, the exterior of the Building (including painting), landscaping sprinkler systems, and any items normally associated with the foregoing. All costs in performing the work described in the foregoing sentence shall be included in Operating Costs. Tenant shall promptly notify Landlord in writing of any work required to be performed under this Section </w:t>
      </w:r>
      <w:r>
        <w:rPr>
          <w:rFonts w:ascii="Times New Roman;sans-serif" w:hAnsi="Times New Roman;sans-serif"/>
          <w:b w:val="false"/>
          <w:color w:val="000000"/>
          <w:sz w:val="22"/>
        </w:rPr>
        <w:t>7</w:t>
      </w:r>
      <w:r>
        <w:rPr>
          <w:rFonts w:ascii="Times New Roman;sans-serif" w:hAnsi="Times New Roman;sans-serif"/>
          <w:b w:val="false"/>
          <w:color w:val="000000"/>
          <w:sz w:val="24"/>
        </w:rPr>
        <w:t xml:space="preserve">, and Landlord shall not be responsible for performing such work until Tenant delivers to Landlord such notice. Notwithstanding anything to the contrary contained herein, Landlord shall, in its commercially reasonable discretion, determine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88925"/>
                <wp:effectExtent l="0" t="0" r="0" b="0"/>
                <wp:wrapNone/>
                <wp:docPr id="60" name="Frame6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appropriate remedial action required of it to satisfy its maintenance obligations hereunder (e.g., Landlord shall, in its commercially reasonable discretion, determine whether, and to the extent, repairs or replacements are the appropriate remedial action).</w:t>
      </w:r>
    </w:p>
    <w:p>
      <w:pPr>
        <w:pStyle w:val="TextBody"/>
        <w:bidi w:val="0"/>
        <w:spacing w:lineRule="auto" w:line="288"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u w:val="single"/>
        </w:rPr>
        <w:t>Improvements; Alterations; Tenant's Maintenance and Repair Obligations</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Improvements; Alterations</w:t>
      </w:r>
      <w:r>
        <w:rPr>
          <w:rFonts w:ascii="Times New Roman;sans-serif" w:hAnsi="Times New Roman;sans-serif"/>
          <w:b w:val="false"/>
          <w:color w:val="000000"/>
          <w:sz w:val="24"/>
        </w:rPr>
        <w:t>. Improvements to the Premises shall be installed at Tenant's expense only in accordance with plans and specifications which have been previously approved in writing by Landlord, which approval shall be governed by the provisions set forth in this Section </w:t>
      </w:r>
      <w:r>
        <w:rPr>
          <w:rFonts w:ascii="Times New Roman;sans-serif" w:hAnsi="Times New Roman;sans-serif"/>
          <w:b w:val="false"/>
          <w:color w:val="000000"/>
          <w:sz w:val="22"/>
        </w:rPr>
        <w:t>8(a)</w:t>
      </w:r>
      <w:r>
        <w:rPr>
          <w:rFonts w:ascii="Times New Roman;sans-serif" w:hAnsi="Times New Roman;sans-serif"/>
          <w:b w:val="false"/>
          <w:color w:val="000000"/>
          <w:sz w:val="24"/>
        </w:rPr>
        <w:t xml:space="preserve">. No alterations or additions in or to the Premises may be made without Landlord's prior written consent, which shall not be unreasonably withheld or delayed; however, Landlord may withhold its consent to any alteration or addition that would adversely affect (in the reasonable discretion of Landlord) (1) the Building's Structure or the Building's Systems (including the Building's restrooms or mechanical rooms), (2) the exterior appearance of the Building, (3) the appearance of the Building's common areas, or (4) the provision of services to other Building occupants. Tenant shall not paint or install lighting or decorations, signs, window or door lettering, or advertising media of any type visible from the exterior of the Premises without the prior written consent of Landlord, which consent may be withheld in Landlord's sole and absolute discretion.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Tenant shall have the right to make alterations to the Premises without obtaining Landlord's prior written consent provided that (a) the cost of such alterations do not exceed Fifty Thousand Dollars ($50,000.00) in any one instance; (b) such alterations do not affect the Building's Structure or the Building's Systems and do not require issuance of a building permit; (c) Tenant provides Landlord with prior written notice of its intention to make such alterations stating in reasonable detail the nature, extent and estimated cost of such alterations together with the plans and specifications for the same and (d) Tenant's construction of such alterations otherwise complies with the terms of this </w:t>
      </w:r>
      <w:r>
        <w:rPr>
          <w:rFonts w:ascii="Times New Roman;sans-serif" w:hAnsi="Times New Roman;sans-serif"/>
          <w:b w:val="false"/>
          <w:color w:val="000000"/>
          <w:sz w:val="24"/>
          <w:u w:val="single"/>
        </w:rPr>
        <w:t>Section 8</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Repairs; Maintenance</w:t>
      </w:r>
      <w:r>
        <w:rPr>
          <w:rFonts w:ascii="Times New Roman;sans-serif" w:hAnsi="Times New Roman;sans-serif"/>
          <w:b w:val="false"/>
          <w:color w:val="000000"/>
          <w:sz w:val="24"/>
        </w:rPr>
        <w:t xml:space="preserve">. Tenant shall maintain the Premises, including the loading areas and dock, and loading dock equipment in connection with the Premises, in a clean, safe, and operable condition, and shall not permit or allow to remain damage to any portion of the Premises. Additionally, Tenant, at its sole expense, shall repair, replace and maintain in good condition and in accordance with all Laws and the equipment manufacturer's suggested service programs, all portions of the Premises, Tenant's Off-Premises Equipment and all areas, improvements and systems exclusively serving the Premises including loading docks, sump pumps, dock wells, dock equipment and loading areas, dock doors, dock seals, overhead doors, "levellors" and similar leveling equipment, plumbing, water, fire sprinkler system, and sewer lines up to points of common connection, entries, doors, ceilings, windows, interior walls, and the interior side of demising walls, and heating, ventilation and air conditioning systems (including any evaporative units), and other building and mechanical systems serving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88925"/>
                <wp:effectExtent l="0" t="0" r="0" b="0"/>
                <wp:wrapNone/>
                <wp:docPr id="61" name="Frame6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Premises. Such repair and replacements include capital expenditures and repairs whose benefit may extend beyond the Term. If Tenant fails to perform any of its maintenance obligations hereunder and such failure continues for five (5) business days after written notice from Landlord (or such longer period as may be reasonably required provided Tenant commences to perform such required maintenance within such five (5) business-day period and proceeds diligently to completion), then Landlord may make the same at Tenant's cost. Tenant shall repair or replace, subject to Landlord's direction and supervision, any damage to the Building caused by a Tenant Party. If Tenant fails to make such repairs or replacements within 15 days after the occurrence of such damage (or such longer period as may be reasonably required provided Tenant commences to make such repairs or replacements within such 15-day period and proceeds diligently to completion), then Landlord may make the same at Tenant's cost. If any such damage occurs outside of the Premises, then Landlord may elect to repair such damage at Tenant's expense, rather than having Tenant repair such damage. The reasonable costs of all maintenance, repair or replacement work performed by Landlord under this Section </w:t>
      </w:r>
      <w:r>
        <w:rPr>
          <w:rFonts w:ascii="Times New Roman;sans-serif" w:hAnsi="Times New Roman;sans-serif"/>
          <w:b w:val="false"/>
          <w:color w:val="000000"/>
          <w:sz w:val="22"/>
        </w:rPr>
        <w:t>8</w:t>
      </w:r>
      <w:r>
        <w:rPr>
          <w:color w:val="000000"/>
        </w:rPr>
        <w:t xml:space="preserve"> </w:t>
      </w:r>
      <w:r>
        <w:rPr>
          <w:rFonts w:ascii="Times New Roman;sans-serif" w:hAnsi="Times New Roman;sans-serif"/>
          <w:b w:val="false"/>
          <w:color w:val="000000"/>
          <w:sz w:val="24"/>
        </w:rPr>
        <w:t>shall be paid by Tenant to Landlord within 30 days after Landlord has invoiced Tenant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Performance of Work</w:t>
      </w:r>
      <w:r>
        <w:rPr>
          <w:rFonts w:ascii="Times New Roman;sans-serif" w:hAnsi="Times New Roman;sans-serif"/>
          <w:b w:val="false"/>
          <w:color w:val="000000"/>
          <w:sz w:val="24"/>
        </w:rPr>
        <w:t>. All work described in this Section </w:t>
      </w:r>
      <w:r>
        <w:rPr>
          <w:rFonts w:ascii="Times New Roman;sans-serif" w:hAnsi="Times New Roman;sans-serif"/>
          <w:b w:val="false"/>
          <w:color w:val="000000"/>
          <w:sz w:val="22"/>
        </w:rPr>
        <w:t>8</w:t>
      </w:r>
      <w:r>
        <w:rPr>
          <w:color w:val="000000"/>
        </w:rPr>
        <w:t xml:space="preserve"> </w:t>
      </w:r>
      <w:r>
        <w:rPr>
          <w:rFonts w:ascii="Times New Roman;sans-serif" w:hAnsi="Times New Roman;sans-serif"/>
          <w:b w:val="false"/>
          <w:color w:val="000000"/>
          <w:sz w:val="24"/>
        </w:rPr>
        <w:t>shall be performed only by Landlord or by contractors and subcontractors approved in writing by Landlord, which approval will not be unreasonably withheld for contractors and subcontractors that maintain the insurance coverages required by Landlord. Tenant shall cause all contractors and subcontractors to procure and maintain insurance coverage naming Landlord, Landlord's property management company and Landlord's asset management company as additional insureds against such risks, in such amounts, and with such companies as Landlord may reasonably require.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work shall be performed in accordance with all Laws and in a good and workmanlike manner so as not to damage the Building (including the Premises, the Building's Structure and the Building's Systems). All such work which may affect the Building's Structure or the Building's Systems must be approved by the Building's engineer of record, at Tenant's expense and, at Landlord's election, must be performed by Landlord's usual contractor for such work. All work affecting the Building roof must be performed by Landlord's roofing contractor, and will not be permitted if it would void or reduce the warranty on the roof.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Mechanic's Liens</w:t>
      </w:r>
      <w:r>
        <w:rPr>
          <w:rFonts w:ascii="Times New Roman;sans-serif" w:hAnsi="Times New Roman;sans-serif"/>
          <w:b w:val="false"/>
          <w:color w:val="000000"/>
          <w:sz w:val="24"/>
        </w:rPr>
        <w:t xml:space="preserve">. All work performed, materials furnished, or obligations incurred by or at the request of a Tenant Party shall be deemed authorized and ordered by Tenant only, and Tenant shall not permit any mechanic's liens to be filed against the Premises or the Project in connection therewith. Upon completion of any such work, Tenant shall deliver to Landlord final lien waivers from all contractors, subcontractors and materialmen who performed such work. If a lien is filed, then Tenant shall, within ten days after Landlord has delivered notice of the filing thereof to Tenant (or earlier, as necessary to prevent the forfeiture of the Premises, the Project or any interest of Landlord therein or the imposition of any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88925"/>
                <wp:effectExtent l="0" t="0" r="0" b="0"/>
                <wp:wrapNone/>
                <wp:docPr id="62" name="Frame6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lien claim, and any amounts so paid, including expenses and interest, shall be paid by Tenant to Landlord within ten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during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This indemnity provision shall survive termination or expiration of this Lease.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Janitorial Services</w:t>
      </w:r>
      <w:r>
        <w:rPr>
          <w:rFonts w:ascii="Times New Roman;sans-serif" w:hAnsi="Times New Roman;sans-serif"/>
          <w:b w:val="false"/>
          <w:color w:val="000000"/>
          <w:sz w:val="24"/>
        </w:rPr>
        <w:t>. Tenant, at its sole expense, shall provide janitorial services to the Premises and shall maintain the Premises in a clean and safe condition. Tenant shall store all trash and garbage within the area and in receptacles designated from time to time by Landlord and shall, at its sole expense, arrange for the regular pickup of such trash and garbage pursuant to reasonable regulations established by Landlord from time to time. If Tenant fails to provide janitorial services to the Premises or trash removal services in compliance with the foregoing and such failure continues for more than five (5) days after written notice to Tenant (or more than twice in any 12-month period), Landlord, in addition to any other rights and remedies available to it, may provide such services, and Tenant shall pay to Landlord the cost thereof, plus an administrative fee equal to 15% of such cost, within ten days after Landlord delivers to Tenant an invoice therefor.</w:t>
      </w:r>
    </w:p>
    <w:p>
      <w:pPr>
        <w:pStyle w:val="TextBody"/>
        <w:bidi w:val="0"/>
        <w:spacing w:lineRule="auto" w:line="288"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u w:val="single"/>
        </w:rPr>
        <w:t>Utilities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shall pay for all water, gas, electricity, heat, telephone, sewer, sprinkler charges and other utilities and services used at the Premises, together with any taxes, penalties, surcharges, connection charges, maintenance charges, and the like pertaining to Tenant's use of the Premises. Landlord shall separately meter gas and electricity service and bill Tenant directly for its use of any such utility service. To the extent any utility service for the Premises is submetered, the meter shall be read by Landlord or Landlord's designee, and Tenant shall pay to Landlord, within 30 days after receipt of an invoice therefor, the cost of such service based on rates charged for such service by the utility company furnishing such service, including all fuel adjustment charges, demand charges and taxes. To the extent that any particular utility is not separately metered or submetered as provided above (e.g., water or sewer charges), Landlord shall, using its good-faith, reasonable judgment, allocate the expenses for such utility among the existing tenants of the Project based upon density, usage, and other factors in Landlord's reasonable judgment. Tenant, at its expense, shall obtain all utility services for the Premises (other than utilities submetered or otherwise provided to the Premises by Landlord). 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8925"/>
                <wp:effectExtent l="0" t="0" r="0" b="0"/>
                <wp:wrapNone/>
                <wp:docPr id="63" name="Frame6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not be liable for any interruption or failure of utility service to the Premises, and such interruption or failure of utility service shall not be a constructive eviction of Tenant, constitute a breach of any implied warranty, or, except as provided in the next sentence, entitle Tenant to any abatement of Tenant's obligations hereunder. If, however, Tenant is prevented from using the Premises for more than ten (10) consecutive business days because of the unavailability of any such service and such unavailability was caused by Landlord, its agents, employees or contractors, and restoration of such service is within the reasonable control of Landlord, then Tenant, as its exclusive remedy is entitled to a reasonable abatement of Rent for each consecutive day (after such 10 business-day period) that Tenant is so prevented from using the Premises. Rent shall not abate by reason of the interruption, insufficiency, unavailability or discontinuance of such service if such unavailability or discontinuance was not caused by Landlord, its agents, employees or contractors and restoration of such service is not within the reasonable control of Landlord.</w:t>
      </w:r>
    </w:p>
    <w:p>
      <w:pPr>
        <w:pStyle w:val="TextBody"/>
        <w:bidi w:val="0"/>
        <w:spacing w:lineRule="auto" w:line="288"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u w:val="single"/>
        </w:rPr>
        <w:t>Use and Compliance with Law</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Use</w:t>
      </w:r>
      <w:r>
        <w:rPr>
          <w:rFonts w:ascii="Times New Roman;sans-serif" w:hAnsi="Times New Roman;sans-serif"/>
          <w:b w:val="false"/>
          <w:color w:val="000000"/>
          <w:sz w:val="24"/>
        </w:rPr>
        <w:t>. Tenant shall use the Premises only for the Permitted Use and shall comply with all Laws relating to this Lease and/or the use, condition, access to, and occupancy of the Premises and will not commit waste, overload the Building's Structure or the Building's Systems. The Premises shall not be used for any use which is disreputable, creates extraordinary fire hazards, or results in an increased rate of insurance on the Building or its contents, or for the storage of any Hazardous Materials (except as provided in Section </w:t>
      </w:r>
      <w:r>
        <w:rPr>
          <w:rFonts w:ascii="Times New Roman;sans-serif" w:hAnsi="Times New Roman;sans-serif"/>
          <w:b w:val="false"/>
          <w:color w:val="000000"/>
          <w:sz w:val="22"/>
        </w:rPr>
        <w:t>27</w:t>
      </w:r>
      <w:r>
        <w:rPr>
          <w:color w:val="000000"/>
        </w:rPr>
        <w:t xml:space="preserve"> </w:t>
      </w:r>
      <w:r>
        <w:rPr>
          <w:rFonts w:ascii="Times New Roman;sans-serif" w:hAnsi="Times New Roman;sans-serif"/>
          <w:b w:val="false"/>
          <w:color w:val="000000"/>
          <w:sz w:val="24"/>
        </w:rPr>
        <w:t>hereto). Outside storage, including storage of trucks or other vehicles, is prohibited without Landlord's prior written consent. If, because of a Tenant Party's acts or because Tenant vacates the Premises, the rate of insurance on the Building or its contents increases, then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Project.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w:t>
      </w:r>
    </w:p>
    <w:p>
      <w:pPr>
        <w:pStyle w:val="TextBody"/>
        <w:bidi w:val="0"/>
        <w:spacing w:lineRule="auto" w:line="288" w:before="0" w:after="240"/>
        <w:ind w:left="0" w:right="0" w:firstLine="1214"/>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Existing Governmental Regulations</w:t>
      </w:r>
      <w:r>
        <w:rPr>
          <w:rFonts w:ascii="Times New Roman;sans-serif" w:hAnsi="Times New Roman;sans-serif"/>
          <w:b w:val="false"/>
          <w:color w:val="000000"/>
          <w:sz w:val="24"/>
        </w:rPr>
        <w:t>. If any federal, state or local laws, ordinances, orders, rules, regulations or requirements (collectively, "</w:t>
      </w:r>
      <w:r>
        <w:rPr>
          <w:rFonts w:ascii="Times New Roman;sans-serif" w:hAnsi="Times New Roman;sans-serif"/>
          <w:b/>
          <w:color w:val="000000"/>
          <w:sz w:val="24"/>
          <w:u w:val="single"/>
        </w:rPr>
        <w:t>Governmental Requirements</w:t>
      </w:r>
      <w:r>
        <w:rPr>
          <w:rFonts w:ascii="Times New Roman;sans-serif" w:hAnsi="Times New Roman;sans-serif"/>
          <w:b w:val="false"/>
          <w:color w:val="000000"/>
          <w:sz w:val="24"/>
        </w:rPr>
        <w:t>") in existence as of the date of the Lease require an alteration or modification of the Premises (a "</w:t>
      </w:r>
      <w:r>
        <w:rPr>
          <w:rFonts w:ascii="Times New Roman;sans-serif" w:hAnsi="Times New Roman;sans-serif"/>
          <w:b/>
          <w:color w:val="000000"/>
          <w:sz w:val="24"/>
          <w:u w:val="single"/>
        </w:rPr>
        <w:t>Code Modification</w:t>
      </w:r>
      <w:r>
        <w:rPr>
          <w:rFonts w:ascii="Times New Roman;sans-serif" w:hAnsi="Times New Roman;sans-serif"/>
          <w:b w:val="false"/>
          <w:color w:val="000000"/>
          <w:sz w:val="24"/>
        </w:rPr>
        <w:t>") and such Code Modification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at Landlord's sole cost and expense.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88925"/>
                <wp:effectExtent l="0" t="0" r="0" b="0"/>
                <wp:wrapNone/>
                <wp:docPr id="64" name="Frame6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1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Governmental Regulations – Landlord Responsibility</w:t>
      </w:r>
      <w:r>
        <w:rPr>
          <w:rFonts w:ascii="Times New Roman;sans-serif" w:hAnsi="Times New Roman;sans-serif"/>
          <w:b w:val="false"/>
          <w:color w:val="000000"/>
          <w:sz w:val="24"/>
        </w:rPr>
        <w:t>. If, as a result of one or more Governmental Requirements that are not in existence as of the date of this Lease, it is necessary from time to time during the Lease Term, to perform a Code Modification to the Building or the Project that (i) is not made necessary as a result of the specific use being made by Tenant of the Premises (as distinguished from an alteration or improvement which would be required to be made by the owner of any building comparable to the Building irrespective of the use thereof by any particular occupant), and (ii) is not made necessary as a result of any alteration of the Premises by Tenant, such Code Modification shall be performed by Landlord and cost thereof shall be included in Operating Costs.</w:t>
      </w:r>
    </w:p>
    <w:p>
      <w:pPr>
        <w:pStyle w:val="TextBody"/>
        <w:bidi w:val="0"/>
        <w:spacing w:lineRule="auto" w:line="288" w:before="0" w:after="240"/>
        <w:ind w:left="0" w:right="0" w:firstLine="1081"/>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Governmental Regulations – Tenant Responsibility</w:t>
      </w:r>
      <w:r>
        <w:rPr>
          <w:rFonts w:ascii="Times New Roman;sans-serif" w:hAnsi="Times New Roman;sans-serif"/>
          <w:b w:val="false"/>
          <w:color w:val="000000"/>
          <w:sz w:val="24"/>
        </w:rPr>
        <w:t>. If, as a result of one or more Governmental Requirements, it is necessary from time to time during the Lease Term to perform a Code Modification to the Building or the Project that is made necessary as a result of the specific use being made by Tenant of the Premises or as a result of any alteration of the Premises by Tenant, such Code Modification shall be the sole and exclusive responsibility of Tenant in all respects; provided, however, that Tenant shall have the right to retract its request to perform a proposed alteration in the event that the performance of such alteration would trigger the requirement for a Code Modification.</w:t>
      </w:r>
    </w:p>
    <w:p>
      <w:pPr>
        <w:pStyle w:val="TextBody"/>
        <w:bidi w:val="0"/>
        <w:spacing w:lineRule="auto" w:line="288"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u w:val="single"/>
        </w:rPr>
        <w:t>Assignment and Subletting</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Transfers</w:t>
      </w:r>
      <w:r>
        <w:rPr>
          <w:rFonts w:ascii="Times New Roman;sans-serif" w:hAnsi="Times New Roman;sans-serif"/>
          <w:b w:val="false"/>
          <w:color w:val="000000"/>
          <w:sz w:val="24"/>
        </w:rPr>
        <w:t>. Except as provided in Section </w:t>
      </w:r>
      <w:r>
        <w:rPr>
          <w:rFonts w:ascii="Times New Roman;sans-serif" w:hAnsi="Times New Roman;sans-serif"/>
          <w:b w:val="false"/>
          <w:color w:val="000000"/>
          <w:sz w:val="22"/>
        </w:rPr>
        <w:t>11(h)</w:t>
      </w:r>
      <w:r>
        <w:rPr>
          <w:rFonts w:ascii="Times New Roman;sans-serif" w:hAnsi="Times New Roman;sans-serif"/>
          <w:b w:val="false"/>
          <w:color w:val="000000"/>
          <w:sz w:val="24"/>
        </w:rPr>
        <w:t>, Tenant shall not, without the prior written consent of Landlord, (1) 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Section </w:t>
      </w:r>
      <w:r>
        <w:rPr>
          <w:rFonts w:ascii="Times New Roman;sans-serif" w:hAnsi="Times New Roman;sans-serif"/>
          <w:b w:val="false"/>
          <w:color w:val="000000"/>
          <w:sz w:val="22"/>
        </w:rPr>
        <w:t>11(a)(1)</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2"/>
        </w:rPr>
        <w:t>11(a)(6)</w:t>
      </w:r>
      <w:r>
        <w:rPr>
          <w:color w:val="000000"/>
        </w:rPr>
        <w:t xml:space="preserve"> </w:t>
      </w:r>
      <w:r>
        <w:rPr>
          <w:rFonts w:ascii="Times New Roman;sans-serif" w:hAnsi="Times New Roman;sans-serif"/>
          <w:b w:val="false"/>
          <w:color w:val="000000"/>
          <w:sz w:val="24"/>
        </w:rPr>
        <w:t>being a "</w:t>
      </w:r>
      <w:r>
        <w:rPr>
          <w:rFonts w:ascii="Times New Roman;sans-serif" w:hAnsi="Times New Roman;sans-serif"/>
          <w:b/>
          <w:color w:val="000000"/>
          <w:sz w:val="24"/>
          <w:u w:val="single"/>
        </w:rPr>
        <w:t>Transfer</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Consent Standards</w:t>
      </w:r>
      <w:r>
        <w:rPr>
          <w:rFonts w:ascii="Times New Roman;sans-serif" w:hAnsi="Times New Roman;sans-serif"/>
          <w:b w:val="false"/>
          <w:color w:val="000000"/>
          <w:sz w:val="24"/>
        </w:rPr>
        <w:t>. Landlord shall not unreasonably withhold its consent to any assignment or subletting of the Premises, provided that the proposed transferee (1) is creditworthy, (2) has a good reputation in the business community, (3) will use the Premises for the Permitted Use (thus, excluding, without limitation, uses for credit processing and telemarketing) and will not use the Premises in any manner that would conflict with any exclusive use agreement or other similar agreement entered into by Landlord with any other tenant of the Building or Complex, (4) will not use the Premises, Building or Project in a manner that would materially increase the pedestrian or vehicular traffic to the Premises, Building or Project, (5) is not a governmental entity, or subdivision or agency thereof, (6) is not another occupant of the Building or Complex, (7) is in compliance with the regulations of the Office of Foreign Asset Control ("</w:t>
      </w:r>
      <w:r>
        <w:rPr>
          <w:rFonts w:ascii="Times New Roman;sans-serif" w:hAnsi="Times New Roman;sans-serif"/>
          <w:b/>
          <w:color w:val="000000"/>
          <w:sz w:val="24"/>
          <w:u w:val="single"/>
        </w:rPr>
        <w:t>OFAC</w:t>
      </w:r>
      <w:r>
        <w:rPr>
          <w:rFonts w:ascii="Times New Roman;sans-serif" w:hAnsi="Times New Roman;sans-serif"/>
          <w:b w:val="false"/>
          <w:color w:val="000000"/>
          <w:sz w:val="24"/>
        </w:rPr>
        <w:t xml:space="preserve">") of the Department of the Treasury (including those named on OFAC's Specially Designated Nationals and Blocked Persons List) and any statute,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88925"/>
                <wp:effectExtent l="0" t="0" r="0" b="0"/>
                <wp:wrapNone/>
                <wp:docPr id="65" name="Frame6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order (including the September 24, 2001, Executive Order Blocking Property and Prohibiting Transactions with Persons Who Commit, Threaten to Commit or Support Terrorism), or other governmental action relating thereto; and (8) is not a person or entity with whom Landlord is then, or has been within the six-month period prior to the time Tenant seeks to enter into such assignment or subletting, negotiating to lease space in the Building or Complex, or any Affiliate of any such person or entity; otherwise, Landlord may withhold its consent in its sole discretion. Additionally, Landlord may withhold its consent to any proposed Transfer if any Event of Default by Tenant then exists.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Request for Consent</w:t>
      </w:r>
      <w:r>
        <w:rPr>
          <w:rFonts w:ascii="Times New Roman;sans-serif" w:hAnsi="Times New Roman;sans-serif"/>
          <w:b w:val="false"/>
          <w:color w:val="000000"/>
          <w:sz w:val="24"/>
        </w:rPr>
        <w:t>. At least 15 business days prior to the 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Within 30 days after written notice from Landlord, Tenant will reimburse Landlord for its reasonable attorneys' fees incurred in connection with considering any request for consent to a Transfer, not to exceed $2,500.00 per request for consent.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Conditions to Consent</w:t>
      </w:r>
      <w:r>
        <w:rPr>
          <w:rFonts w:ascii="Times New Roman;sans-serif" w:hAnsi="Times New Roman;sans-serif"/>
          <w:b w:val="false"/>
          <w:color w:val="000000"/>
          <w:sz w:val="24"/>
        </w:rPr>
        <w:t>. If Landlord consents to a proposed Transfer, the proposed transferee shall deliver to Landlord a written agreement expressly assuming Tenant's obligations hereunder; however, any transferee of less than all of the Premises shall be liable only for obligations under this Lease properly allocable to the space subject to the Transfer, for the period of the Transfer. No Transfer shall release Tenant from its obligations under this Lease; Tenant and its transferee shall be jointly and severally liable therefor. Landlord's consent to any Transfer shall not waive Landlord's rights as to any subsequent Transfers. If an Event of Default occurs while any part of the Premises or any part thereof are subject to a Transfer, then Landlord, in addition to its other remedies, may collect directly from such transferee all rents becoming due to Tenant, and apply such rents against Rent. Tenant instructs its transferees to make payments of rent directly to Landlord upon receipt of notice from Landlord to do so following the occurrence of an Event of Default. Tenant shall pay for the cost of any demising walls or other improvements necessitated by a proposed subletting or assignment.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Attornment by Subtenants</w:t>
      </w:r>
      <w:r>
        <w:rPr>
          <w:rFonts w:ascii="Times New Roman;sans-serif" w:hAnsi="Times New Roman;sans-serif"/>
          <w:b w:val="false"/>
          <w:color w:val="000000"/>
          <w:sz w:val="24"/>
        </w:rPr>
        <w:t xml:space="preserve">. Each sublease hereunder shall be subject and subordinate to this Lease and to the matters to which this Lease is or shall be subordinate, and each subtenant is deemed to have agreed that in the event of termination, re-entry or dispossession by Landlord under this Lease, Landlord may, at its option, take over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of such subtenant against Tenant, (3) bound by any previous modification of such sublease not approved by Landlord in writing or by any rent or additional rent or advance rent which such subtenant has paid for more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88925"/>
                <wp:effectExtent l="0" t="0" r="0" b="0"/>
                <wp:wrapNone/>
                <wp:docPr id="66" name="Frame6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current month to Tenant, and all such rent shall remain due and owing, notwithstanding such advance payment, (4) bound by any security or advance rental deposit made by such subtenant which is not delivered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as a condition of its occupying or using any part of the Premises, to have agreed to be bound by the terms of this Section </w:t>
      </w:r>
      <w:r>
        <w:rPr>
          <w:rFonts w:ascii="Times New Roman;sans-serif" w:hAnsi="Times New Roman;sans-serif"/>
          <w:b w:val="false"/>
          <w:color w:val="000000"/>
          <w:sz w:val="22"/>
        </w:rPr>
        <w:t>11(e)</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Cancellation</w:t>
      </w:r>
      <w:r>
        <w:rPr>
          <w:rFonts w:ascii="Times New Roman;sans-serif" w:hAnsi="Times New Roman;sans-serif"/>
          <w:b w:val="false"/>
          <w:color w:val="000000"/>
          <w:sz w:val="24"/>
        </w:rPr>
        <w:t>. Landlord may, within 30 days after receipt of Tenant's written request for Landlord's consent to an assignment or subletting, cancel this Lease as to the portion of the Premises proposed to be sublet or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such portion of the Premises. Thereafter, Landlord may lease such portion of the Premises to the prospective transferee (or to any other person) without liability to Tenant.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Additional Compensation</w:t>
      </w:r>
      <w:r>
        <w:rPr>
          <w:rFonts w:ascii="Times New Roman;sans-serif" w:hAnsi="Times New Roman;sans-serif"/>
          <w:b w:val="false"/>
          <w:color w:val="000000"/>
          <w:sz w:val="24"/>
        </w:rPr>
        <w:t>. While no Event of Default exists, Tenant shall pay to Landlord, immediately upon receipt thereof, fifty percent (50%) of the excess of (1) all compensation received by Tenant for a Transfer, less (i) rent in excess of the prevailing rental rate at the commencement of such extended Term, for renewals of space in buildings of equivalent quality, size, utility and location for Class A non-refrigerated warehouse space, and (ii) the actual out-of-pocket costs reasonably incurred by Tenant with unaffiliated third parties (i.e., brokerage commissions and tenant finish work) in connection with such Transfer (such costs shall be amortized on a straight-line basis over the term of the Transfer in question) over (2) the Rent allocable to the portion of the Premises covered thereby. While any Event of Default exists, Tenant shall pay to Landlord, immediately upon receipt thereof, one hundred percent (100%) of the excess of (A) all compensation received by Tenant for a Transfer over (B) the Rent allocable to the portion of the Premises covered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Permitted Transfers</w:t>
      </w:r>
      <w:r>
        <w:rPr>
          <w:rFonts w:ascii="Times New Roman;sans-serif" w:hAnsi="Times New Roman;sans-serif"/>
          <w:b w:val="false"/>
          <w:color w:val="000000"/>
          <w:sz w:val="24"/>
        </w:rPr>
        <w:t xml:space="preserve">. Notwithstanding Section </w:t>
      </w:r>
      <w:r>
        <w:rPr>
          <w:rFonts w:ascii="Times New Roman;sans-serif" w:hAnsi="Times New Roman;sans-serif"/>
          <w:b w:val="false"/>
          <w:color w:val="000000"/>
          <w:sz w:val="22"/>
        </w:rPr>
        <w:t>11(a)</w:t>
      </w:r>
      <w:r>
        <w:rPr>
          <w:rFonts w:ascii="Times New Roman;sans-serif" w:hAnsi="Times New Roman;sans-serif"/>
          <w:b w:val="false"/>
          <w:color w:val="000000"/>
          <w:sz w:val="24"/>
        </w:rPr>
        <w:t>, Tenant may Transfer all or part of its interest in this Lease or all or part of the Premises (a "</w:t>
      </w:r>
      <w:r>
        <w:rPr>
          <w:rFonts w:ascii="Times New Roman;sans-serif" w:hAnsi="Times New Roman;sans-serif"/>
          <w:b/>
          <w:color w:val="000000"/>
          <w:sz w:val="24"/>
          <w:u w:val="single"/>
        </w:rPr>
        <w:t>Permitted Transfer</w:t>
      </w:r>
      <w:r>
        <w:rPr>
          <w:rFonts w:ascii="Times New Roman;sans-serif" w:hAnsi="Times New Roman;sans-serif"/>
          <w:b w:val="false"/>
          <w:color w:val="000000"/>
          <w:sz w:val="24"/>
        </w:rPr>
        <w:t>") to the following types of entities (a "</w:t>
      </w:r>
      <w:r>
        <w:rPr>
          <w:rFonts w:ascii="Times New Roman;sans-serif" w:hAnsi="Times New Roman;sans-serif"/>
          <w:b/>
          <w:color w:val="000000"/>
          <w:sz w:val="24"/>
          <w:u w:val="single"/>
        </w:rPr>
        <w:t>Permitted Transferee</w:t>
      </w:r>
      <w:r>
        <w:rPr>
          <w:rFonts w:ascii="Times New Roman;sans-serif" w:hAnsi="Times New Roman;sans-serif"/>
          <w:b w:val="false"/>
          <w:color w:val="000000"/>
          <w:sz w:val="24"/>
        </w:rPr>
        <w:t>") without the written consent of Landlord:</w:t>
      </w:r>
    </w:p>
    <w:p>
      <w:pPr>
        <w:pStyle w:val="TextBody"/>
        <w:bidi w:val="0"/>
        <w:spacing w:lineRule="auto" w:line="288" w:before="0" w:after="240"/>
        <w:ind w:left="0" w:right="0" w:firstLine="1214"/>
        <w:jc w:val="both"/>
        <w:rPr>
          <w:rFonts w:ascii="Times New Roman;sans-serif" w:hAnsi="Times New Roman;sans-serif"/>
          <w:b w:val="false"/>
          <w:color w:val="000000"/>
          <w:sz w:val="24"/>
        </w:rPr>
      </w:pPr>
      <w:r>
        <w:rPr>
          <w:rFonts w:ascii="Times New Roman;sans-serif" w:hAnsi="Times New Roman;sans-serif"/>
          <w:b w:val="false"/>
          <w:color w:val="000000"/>
          <w:sz w:val="24"/>
        </w:rPr>
        <w:t>(i)an Affiliate of Tenant;</w:t>
      </w:r>
    </w:p>
    <w:p>
      <w:pPr>
        <w:pStyle w:val="TextBody"/>
        <w:bidi w:val="0"/>
        <w:spacing w:lineRule="auto" w:line="288"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Tangible Net Worth of Tenant as of the date 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88925"/>
                <wp:effectExtent l="0" t="0" r="0" b="0"/>
                <wp:wrapNone/>
                <wp:docPr id="67" name="Frame6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081"/>
        <w:jc w:val="both"/>
        <w:rPr>
          <w:rFonts w:ascii="Times New Roman;sans-serif" w:hAnsi="Times New Roman;sans-serif"/>
          <w:b w:val="false"/>
          <w:color w:val="000000"/>
          <w:sz w:val="24"/>
        </w:rPr>
      </w:pPr>
      <w:r>
        <w:rPr>
          <w:rFonts w:ascii="Times New Roman;sans-serif" w:hAnsi="Times New Roman;sans-serif"/>
          <w:b w:val="false"/>
          <w:color w:val="000000"/>
          <w:sz w:val="24"/>
        </w:rPr>
        <w:t>(iii)any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and the use of the Premises by the Permitted Transferee may not violate any other agreements affecting the Premises, the Building, the Complex, Landlord or other tenants of the Building or Complex. No later than 30 days after the effective date of any Permitted Transfer, Tenant shall furnish Landlord with (A) copies of the instrument effecting such Permitted Transfer, (B) documentation establishing Tenant's satisfaction of the requirements set forth above applicable to such Transfer, (C) evidence of insurance as required under this Lease with respect to the Permitted Transferee, and (D) evidence of compliance with the regulations of OFAC and any statute, executive order (including the September 24, 2001, Executive Order Blocking Property and Prohibiting Transactions with Persons Who Commit, Threaten to Commit, or Support Terrorism), or other governmental action relating thereto, including the name and address of the Permitted Transferee and any entities and persons who own, control or direct the Permitted Transferee. The occurrence of a Permitted Transfer shall not waive Landlord's rights as to any subsequent Transfers. "</w:t>
      </w:r>
      <w:r>
        <w:rPr>
          <w:rFonts w:ascii="Times New Roman;sans-serif" w:hAnsi="Times New Roman;sans-serif"/>
          <w:b/>
          <w:color w:val="000000"/>
          <w:sz w:val="24"/>
          <w:u w:val="single"/>
        </w:rPr>
        <w:t>Tangible Net Worth</w:t>
      </w:r>
      <w:r>
        <w:rPr>
          <w:rFonts w:ascii="Times New Roman;sans-serif" w:hAnsi="Times New Roman;sans-serif"/>
          <w:b w:val="false"/>
          <w:color w:val="000000"/>
          <w:sz w:val="24"/>
        </w:rPr>
        <w:t>" means the excess of total assets over total liabilities, in each case as determined in accordance with generally accepted accounting principles consistently applied ("</w:t>
      </w:r>
      <w:r>
        <w:rPr>
          <w:rFonts w:ascii="Times New Roman;sans-serif" w:hAnsi="Times New Roman;sans-serif"/>
          <w:b/>
          <w:color w:val="000000"/>
          <w:sz w:val="24"/>
          <w:u w:val="single"/>
        </w:rPr>
        <w:t>GAAP</w:t>
      </w:r>
      <w:r>
        <w:rPr>
          <w:rFonts w:ascii="Times New Roman;sans-serif" w:hAnsi="Times New Roman;sans-serif"/>
          <w:b w:val="false"/>
          <w:color w:val="000000"/>
          <w:sz w:val="24"/>
        </w:rPr>
        <w:t>"),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Section </w:t>
      </w:r>
      <w:r>
        <w:rPr>
          <w:rFonts w:ascii="Times New Roman;sans-serif" w:hAnsi="Times New Roman;sans-serif"/>
          <w:b w:val="false"/>
          <w:color w:val="000000"/>
          <w:sz w:val="22"/>
        </w:rPr>
        <w:t>11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u w:val="single"/>
        </w:rPr>
        <w:t>Insurance; Waivers; Subrogation; Indemnity</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Tenant's Insurance</w:t>
      </w:r>
      <w:r>
        <w:rPr>
          <w:rFonts w:ascii="Times New Roman;sans-serif" w:hAnsi="Times New Roman;sans-serif"/>
          <w:b w:val="false"/>
          <w:color w:val="000000"/>
          <w:sz w:val="24"/>
        </w:rPr>
        <w:t xml:space="preserve">. Effective as of the earlier of </w:t>
      </w:r>
      <w:r>
        <w:rPr>
          <w:rFonts w:ascii="Arial;sans-serif" w:hAnsi="Arial;sans-serif"/>
          <w:b w:val="false"/>
          <w:color w:val="000000"/>
          <w:sz w:val="24"/>
        </w:rPr>
        <w:t>(1)</w:t>
      </w:r>
      <w:r>
        <w:rPr>
          <w:color w:val="000000"/>
        </w:rPr>
        <w:t> </w:t>
      </w:r>
      <w:r>
        <w:rPr>
          <w:rFonts w:ascii="Times New Roman;sans-serif" w:hAnsi="Times New Roman;sans-serif"/>
          <w:b w:val="false"/>
          <w:color w:val="000000"/>
          <w:sz w:val="24"/>
        </w:rPr>
        <w:t xml:space="preserve">the date Tenant enters or occupies the Premises, or </w:t>
      </w:r>
      <w:r>
        <w:rPr>
          <w:rFonts w:ascii="Arial;sans-serif" w:hAnsi="Arial;sans-serif"/>
          <w:b w:val="false"/>
          <w:color w:val="000000"/>
          <w:sz w:val="24"/>
        </w:rPr>
        <w:t>(2)</w:t>
      </w:r>
      <w:r>
        <w:rPr>
          <w:color w:val="000000"/>
        </w:rPr>
        <w:t> </w:t>
      </w:r>
      <w:r>
        <w:rPr>
          <w:rFonts w:ascii="Times New Roman;sans-serif" w:hAnsi="Times New Roman;sans-serif"/>
          <w:b w:val="false"/>
          <w:color w:val="000000"/>
          <w:sz w:val="24"/>
        </w:rPr>
        <w:t xml:space="preserve">the Commencement Date, and continuing throughout the Term, Tenant shall maintain the following insurance policies: (A) commercial general liability insurance in amounts of $3,000,000 per occurrence or, following the expiration of the initial Term, such other amounts as Landlord from time to time reasonably requires (and, 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 insuring Tenant, Landlord, Landlord's property management company, Landlord's asset management company and, if requested in writing by Landlord, Landlord's Mortgagee against all liability for injury to or death of a person or persons or damage to property arising from the use and occupancy of the Premises and (without implying any consent by Landlord to the installation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88925"/>
                <wp:effectExtent l="0" t="0" r="0" b="0"/>
                <wp:wrapNone/>
                <wp:docPr id="68" name="Frame6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thereof) the installation, operation, maintenance, repair or removal of Tenant's Off-Premises Equipment, (B) insurance covering the full value of all alterations and improvements and betterments in the Premises, naming Landlord and Landlord's Mortgagee as additional loss payees as their interests may appear, (C) insurance covering the full value of all furniture, trade fixtures and personal property (including property of Tenant or others) in the Premises or otherwise placed in the Project by or on behalf of a Tenant Party (including Tenant's Off-Premises Equipment), (D) contractual liability insurance sufficient to cover Tenant's indemnity obligations hereunder (but only if such contractual liability insurance is not already included in Tenant's commercial general liability insurance policy), (E) worker's compensation insurance, and (F) business interruption insurance in an amount reasonably acceptable to Landlord. The commercial general liability insurance to be maintained by Tenant may have a deductible of no more than $25,000 per occurrence; and, the property insurance to be maintained by Tenant may have a deductible of no more than $100,000 per occurrence. Tenant's insurance shall provide primary coverage to Landlord when any policy issued to Landlord provides duplicate or similar coverage; Landlord's policy will be excess over Tenant's policy. Tenant shall furnish to Landlord certificates of such insurance least ten (10) days prior to the earlier of the Commencement Date or the date Tenant enters or occupies the Premises, and as soon as practical but at least five (5) days prior to each renewal of said insurance, and Tenant shall notify Landlord at least thirty (30) days before cancellation of any such insurance policies. All such insurance policies shall be in form reasonably satisfactory to Landlord and issued by companies with a Best's rating of A+:VII or better. If Tenant fails to comply with the foregoing insurance requirements or to deliver to Landlord the certificates or evidence of coverage required herein, and such failure continues for more than two (2) business days after written notice from Landlord, Landlord, in addition to any other remedy available pursuant to this Lease or otherwise, may, but shall not be obligated to, obtain such insurance and Tenant shall pay to Landlord within thirty (30) days after written notice from Landlord, the premium costs thereof, plus an administrative fee of 15% of such cost.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Landlord's Insurance</w:t>
      </w:r>
      <w:r>
        <w:rPr>
          <w:rFonts w:ascii="Times New Roman;sans-serif" w:hAnsi="Times New Roman;sans-serif"/>
          <w:b w:val="false"/>
          <w:color w:val="000000"/>
          <w:sz w:val="24"/>
        </w:rPr>
        <w:t>. Throughout the Term of this Lease, Landlord shall maintain, as a minimum, the following insurance policies: (1) property insurance for the Building's replacement value (excluding property required to be insured by Tenant), less a commercially-reasonable deductible if Landlord so chooses, and (2) commercial general liability insurance in an amount of not less than $3,000,000. Landlord may, but is not obligated to, maintain such other insurance and additional coverages as it may deem necessary. The cost of all insurance carried by Landlord with respect to the Project shall be included in Insurance Costs (defined below).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 Subrogation; Waiver of Property Claims</w:t>
      </w:r>
      <w:r>
        <w:rPr>
          <w:rFonts w:ascii="Times New Roman;sans-serif" w:hAnsi="Times New Roman;sans-serif"/>
          <w:b w:val="false"/>
          <w:color w:val="000000"/>
          <w:sz w:val="24"/>
        </w:rPr>
        <w:t>. Landlord and Tenant each waives any claim it might have against the other for any damage to or theft, destruction, loss, or loss of use of any property, to the extent the same is insured against under any insurance policy of the types described in this Section </w:t>
      </w:r>
      <w:r>
        <w:rPr>
          <w:rFonts w:ascii="Times New Roman;sans-serif" w:hAnsi="Times New Roman;sans-serif"/>
          <w:b w:val="false"/>
          <w:color w:val="000000"/>
          <w:sz w:val="22"/>
        </w:rPr>
        <w:t>12</w:t>
      </w:r>
      <w:r>
        <w:rPr>
          <w:color w:val="000000"/>
        </w:rPr>
        <w:t xml:space="preserve"> </w:t>
      </w:r>
      <w:r>
        <w:rPr>
          <w:rFonts w:ascii="Times New Roman;sans-serif" w:hAnsi="Times New Roman;sans-serif"/>
          <w:b w:val="false"/>
          <w:color w:val="000000"/>
          <w:sz w:val="24"/>
        </w:rPr>
        <w:t xml:space="preserve">that covers the Project, the Premises, Landlord's or Tenant's fixtures, personal property, leasehold improvements, or business, or is required to be insured against under the terms hereof, </w:t>
      </w:r>
      <w:r>
        <w:rPr>
          <w:rFonts w:ascii="Times New Roman;sans-serif" w:hAnsi="Times New Roman;sans-serif"/>
          <w:b/>
          <w:color w:val="000000"/>
          <w:sz w:val="24"/>
        </w:rPr>
        <w:t xml:space="preserve">regardless of whether the negligence of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88925"/>
                <wp:effectExtent l="0" t="0" r="0" b="0"/>
                <wp:wrapNone/>
                <wp:docPr id="69" name="Frame6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color w:val="000000"/>
          <w:sz w:val="24"/>
        </w:rPr>
        <w:t>party caused such Loss</w:t>
      </w:r>
      <w:r>
        <w:rPr>
          <w:color w:val="000000"/>
        </w:rPr>
        <w:t xml:space="preserve"> </w:t>
      </w:r>
      <w:r>
        <w:rPr>
          <w:rFonts w:ascii="Times New Roman;sans-serif" w:hAnsi="Times New Roman;sans-serif"/>
          <w:b w:val="false"/>
          <w:color w:val="000000"/>
          <w:sz w:val="24"/>
        </w:rPr>
        <w:t xml:space="preserve">(defined below). Additionally, Tenant waives any claim it may have against Landlord for any Loss to the extent such Loss is caused by a terrorist act. Each 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caused by casualty, theft, fire, third parties or any other matter or cause, </w:t>
      </w:r>
      <w:r>
        <w:rPr>
          <w:rFonts w:ascii="Times New Roman;sans-serif" w:hAnsi="Times New Roman;sans-serif"/>
          <w:b/>
          <w:color w:val="000000"/>
          <w:sz w:val="24"/>
        </w:rPr>
        <w:t>regardless of whether the negligence of any party caused such loss in whole or in part</w:t>
      </w:r>
      <w:r>
        <w:rPr>
          <w:rFonts w:ascii="Times New Roman;sans-serif" w:hAnsi="Times New Roman;sans-serif"/>
          <w:b w:val="false"/>
          <w:color w:val="000000"/>
          <w:sz w:val="24"/>
        </w:rPr>
        <w:t>. Tenant acknowledges that Landlord shall not carry insurance on, and shall not be responsible for damage to, any property of any Tenant Party located in or about the Project.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Indemnity</w:t>
      </w:r>
      <w:r>
        <w:rPr>
          <w:rFonts w:ascii="Times New Roman;sans-serif" w:hAnsi="Times New Roman;sans-serif"/>
          <w:b w:val="false"/>
          <w:color w:val="000000"/>
          <w:sz w:val="24"/>
        </w:rPr>
        <w:t>. Subject to Section </w:t>
      </w:r>
      <w:r>
        <w:rPr>
          <w:rFonts w:ascii="Times New Roman;sans-serif" w:hAnsi="Times New Roman;sans-serif"/>
          <w:b w:val="false"/>
          <w:color w:val="000000"/>
          <w:sz w:val="22"/>
        </w:rPr>
        <w:t>12(c)</w:t>
      </w:r>
      <w:r>
        <w:rPr>
          <w:rFonts w:ascii="Times New Roman;sans-serif" w:hAnsi="Times New Roman;sans-serif"/>
          <w:b w:val="false"/>
          <w:color w:val="000000"/>
          <w:sz w:val="24"/>
        </w:rPr>
        <w:t>, Tenant shall defend, indemnify, and hold harmless Landlord and its representatives and agents from and against all claims, demands, liabilities, causes of action, suits, judgments, damages, and expenses (including reasonable attorneys' fees) arising from any injury to or death of any person or the damage to or theft, destruction, loss or loss of use of, any property or inconvenience (a "</w:t>
      </w:r>
      <w:r>
        <w:rPr>
          <w:rFonts w:ascii="Times New Roman;sans-serif" w:hAnsi="Times New Roman;sans-serif"/>
          <w:b/>
          <w:color w:val="000000"/>
          <w:sz w:val="24"/>
          <w:u w:val="single"/>
        </w:rPr>
        <w:t>Loss</w:t>
      </w:r>
      <w:r>
        <w:rPr>
          <w:rFonts w:ascii="Times New Roman;sans-serif" w:hAnsi="Times New Roman;sans-serif"/>
          <w:b w:val="false"/>
          <w:color w:val="000000"/>
          <w:sz w:val="24"/>
        </w:rPr>
        <w:t xml:space="preserve">") (1) occurring in or on the Project (other than within the Premises) to the extent caused by the negligence or willful misconduct of any Tenant Party, (2) occurring in the Premises, or (3) arising out of the installation, operation, maintenance, repair or removal of any property of any Tenant Party located in or about the Project, including Tenant's Off-Premises Equipment. It being agreed that clauses </w:t>
      </w:r>
      <w:r>
        <w:rPr>
          <w:rFonts w:ascii="Times New Roman;sans-serif" w:hAnsi="Times New Roman;sans-serif"/>
          <w:b w:val="false"/>
          <w:color w:val="000000"/>
          <w:sz w:val="22"/>
        </w:rPr>
        <w:t>(2)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2"/>
        </w:rPr>
        <w:t>(3)</w:t>
      </w:r>
      <w:r>
        <w:rPr>
          <w:color w:val="000000"/>
        </w:rPr>
        <w:t xml:space="preserve"> </w:t>
      </w:r>
      <w:r>
        <w:rPr>
          <w:rFonts w:ascii="Times New Roman;sans-serif" w:hAnsi="Times New Roman;sans-serif"/>
          <w:b w:val="false"/>
          <w:color w:val="000000"/>
          <w:sz w:val="24"/>
        </w:rPr>
        <w:t xml:space="preserve">of this indemnity are intended to indemnify Landlord and its agents against the consequences of their own negligence or fault, </w:t>
      </w:r>
      <w:r>
        <w:rPr>
          <w:rFonts w:ascii="Times New Roman;sans-serif" w:hAnsi="Times New Roman;sans-serif"/>
          <w:b/>
          <w:color w:val="000000"/>
          <w:sz w:val="24"/>
        </w:rPr>
        <w:t xml:space="preserve">even when Landlord or its agents are jointly, comparatively, contributively, or concurrently negligent with Tenant, and even though any such claim, cause of action or suit is based upon or alleged to be based upon the strict liability of Landlord or its agents; however, such indemnity shall not apply to the sole or gross negligence or willful misconduct of Landlord and its agents. </w:t>
      </w:r>
      <w:r>
        <w:rPr>
          <w:rFonts w:ascii="Times New Roman;sans-serif" w:hAnsi="Times New Roman;sans-serif"/>
          <w:b w:val="false"/>
          <w:color w:val="000000"/>
          <w:sz w:val="24"/>
        </w:rPr>
        <w:t>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Cost of Landlord's Insurance</w:t>
      </w:r>
      <w:r>
        <w:rPr>
          <w:rFonts w:ascii="Times New Roman;sans-serif" w:hAnsi="Times New Roman;sans-serif"/>
          <w:b w:val="false"/>
          <w:color w:val="000000"/>
          <w:sz w:val="24"/>
        </w:rPr>
        <w:t>. Tenant shall pay Tenant's Proportionate Share of the cost of the insurance carried by Landlord from time to time with respect to the Project (including other improvements and Landlord's personal property used in connection therewith), which may include fire and extended coverage insurance (including extended and broad form coverage risks, mudslide, land subsidence, volcanic eruption, flood, earthquake and rent loss insurance) and comprehensive general public liability insurance and excess liability insurance, in such amounts and containing such terms as Landlord deems necessary or desirable (collectively, "</w:t>
      </w:r>
      <w:r>
        <w:rPr>
          <w:rFonts w:ascii="Times New Roman;sans-serif" w:hAnsi="Times New Roman;sans-serif"/>
          <w:b/>
          <w:color w:val="000000"/>
          <w:sz w:val="24"/>
          <w:u w:val="single"/>
        </w:rPr>
        <w:t>Insurance Costs</w:t>
      </w:r>
      <w:r>
        <w:rPr>
          <w:rFonts w:ascii="Times New Roman;sans-serif" w:hAnsi="Times New Roman;sans-serif"/>
          <w:b w:val="false"/>
          <w:color w:val="000000"/>
          <w:sz w:val="24"/>
        </w:rPr>
        <w:t xml:space="preserve">"). During each month of the Term, Tenant shall make a monthly payment to Landlord equal to 1/12th of Tenant's Proportionate Share of Insurance Costs that will be due and payable for that particular year. Each payment of Insurance Costs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88925"/>
                <wp:effectExtent l="0" t="0" r="0" b="0"/>
                <wp:wrapNone/>
                <wp:docPr id="70" name="Frame7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due and payable at the same time as, and in the same manner as, provided above for Tenant's Proportionate Share of Operating Costs. The initial monthly payment of Insurance Costs is based upon Landlord's good faith estimate of Tenant's Proportionate Share of the estimated Insurance Costs for the remainder of the first calendar year. The monthly payment of Insurance Costs is subject to increase or decrease as determined by Landlord to reflect accurately Tenant's Proportionate Share of estimated Insurance Costs. If, following Landlord's receipt of the bill for the insurance premiums for a calendar year, Landlord determines that Tenant's total payments of Insurance Costs are less than Tenant's Proportionate Share of actual Insurance Costs, Tenant shall pay to Landlord the difference within thirty (30) days after written notice from Landlord; if Tenant's total payments of Insurance Costs are more than Tenant's Proportionate Share of actual Insurance Costs, Landlord shall retain such excess and credit it to Tenant's future payments of Insurance Costs (unless such adjustment is at the end of the Term, in which event Landlord shall refund such excess to Tenant within thirty (30) days after expiration).</w:t>
      </w:r>
    </w:p>
    <w:p>
      <w:pPr>
        <w:pStyle w:val="TextBody"/>
        <w:bidi w:val="0"/>
        <w:spacing w:lineRule="auto" w:line="288"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u w:val="single"/>
        </w:rPr>
        <w:t>Subordination; Attornment; Notice to Landlord's Mortgagee</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Subordination</w:t>
      </w:r>
      <w:r>
        <w:rPr>
          <w:rFonts w:ascii="Times New Roman;sans-serif" w:hAnsi="Times New Roman;sans-serif"/>
          <w:b w:val="false"/>
          <w:color w:val="000000"/>
          <w:sz w:val="24"/>
        </w:rPr>
        <w:t>. This Lease shall be subordinate to any deed of trust, mortgage, or other security instrument (each, a "</w:t>
      </w:r>
      <w:r>
        <w:rPr>
          <w:rFonts w:ascii="Times New Roman;sans-serif" w:hAnsi="Times New Roman;sans-serif"/>
          <w:b/>
          <w:color w:val="000000"/>
          <w:sz w:val="24"/>
          <w:u w:val="single"/>
        </w:rPr>
        <w:t>Mortgage</w:t>
      </w:r>
      <w:r>
        <w:rPr>
          <w:rFonts w:ascii="Times New Roman;sans-serif" w:hAnsi="Times New Roman;sans-serif"/>
          <w:b w:val="false"/>
          <w:color w:val="000000"/>
          <w:sz w:val="24"/>
        </w:rPr>
        <w:t>"), or any ground lease, master lease, or primary lease (each, a "</w:t>
      </w:r>
      <w:r>
        <w:rPr>
          <w:rFonts w:ascii="Times New Roman;sans-serif" w:hAnsi="Times New Roman;sans-serif"/>
          <w:b/>
          <w:color w:val="000000"/>
          <w:sz w:val="24"/>
          <w:u w:val="single"/>
        </w:rPr>
        <w:t>Primary Lease</w:t>
      </w:r>
      <w:r>
        <w:rPr>
          <w:rFonts w:ascii="Times New Roman;sans-serif" w:hAnsi="Times New Roman;sans-serif"/>
          <w:b w:val="false"/>
          <w:color w:val="000000"/>
          <w:sz w:val="24"/>
        </w:rPr>
        <w:t>"), that now or hereafter covers all or any part of the Premises (the mortgagee under any such Mortgage, beneficiary under any such deed of trust, or the lessor under any such Primary Lease is referred to herein as a "</w:t>
      </w:r>
      <w:r>
        <w:rPr>
          <w:rFonts w:ascii="Times New Roman;sans-serif" w:hAnsi="Times New Roman;sans-serif"/>
          <w:b/>
          <w:color w:val="000000"/>
          <w:sz w:val="24"/>
          <w:u w:val="single"/>
        </w:rPr>
        <w:t>Landlord's Mortgagee</w:t>
      </w:r>
      <w:r>
        <w:rPr>
          <w:rFonts w:ascii="Times New Roman;sans-serif" w:hAnsi="Times New Roman;sans-serif"/>
          <w:b w:val="false"/>
          <w:color w:val="000000"/>
          <w:sz w:val="24"/>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Attornment</w:t>
      </w:r>
      <w:r>
        <w:rPr>
          <w:rFonts w:ascii="Times New Roman;sans-serif" w:hAnsi="Times New Roman;sans-serif"/>
          <w:b w:val="false"/>
          <w:color w:val="000000"/>
          <w:sz w:val="24"/>
        </w:rPr>
        <w:t>. Tenant shall attorn to any party succeeding to Landlord's interest in the Premises, whether by purchase, foreclosure, deed in lieu of foreclosure, power of sale, or otherwise, upon such party's request, and shall execute such agreements confirming such attornment as such party may reasonably request.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Notice to Landlord's Mortgagee</w:t>
      </w:r>
      <w:r>
        <w:rPr>
          <w:rFonts w:ascii="Times New Roman;sans-serif" w:hAnsi="Times New Roman;sans-serif"/>
          <w:b w:val="false"/>
          <w:color w:val="000000"/>
          <w:sz w:val="24"/>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Landlord's Mortgagee's Protection Provisions</w:t>
      </w:r>
      <w:r>
        <w:rPr>
          <w:rFonts w:ascii="Times New Roman;sans-serif" w:hAnsi="Times New Roman;sans-serif"/>
          <w:b w:val="false"/>
          <w:color w:val="000000"/>
          <w:sz w:val="24"/>
        </w:rPr>
        <w:t xml:space="preserve">. If Landlord's Mortgagee shall succeed to the interest of Landlord under this Lease, Landlord's Mortgagee shall not be: (1) liable for any act or omission of any prior lessor (including Landlord); (2) bound by any Rent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88925"/>
                <wp:effectExtent l="0" t="0" r="0" b="0"/>
                <wp:wrapNone/>
                <wp:docPr id="71" name="Frame7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which Tenant has paid for more than the current month to any prior lessor (including Landlord), and all such rent shall remain due and owing;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Subordination, Non-Disturbance and Attornment Agreement</w:t>
      </w:r>
      <w:r>
        <w:rPr>
          <w:rFonts w:ascii="Times New Roman;sans-serif" w:hAnsi="Times New Roman;sans-serif"/>
          <w:b w:val="false"/>
          <w:color w:val="000000"/>
          <w:sz w:val="24"/>
        </w:rPr>
        <w:t xml:space="preserve">. Landlord shall use reasonable efforts to obtain a subordination, non-disturbance and attornment agreement from the current Landlord’s Mortgagee, and Landlord shall use reasonable efforts to obtain a subordination, non-disturbance and attornment agreement from any future Landlord’s Mortgagee, in the form of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 xml:space="preserve">hereto or another form reasonably acceptable to Tenant and such Landlord’s Mortgagee or other institutional lenders; however, Landlord’s failure to obtain such agreement shall not constitute a default by Landlord hereunder or prohibit the mortgaging of the Building; and further provided that any costs associated with obtaining such subordination, non-disturbance and attornment agreement shall be paid by Tenant within 15 days after Landlord’s written request therefor. The subordination of Tenant’s rights hereunder to any future Landlord’s Mortgagee under </w:t>
      </w:r>
      <w:r>
        <w:rPr>
          <w:rFonts w:ascii="Times New Roman;sans-serif" w:hAnsi="Times New Roman;sans-serif"/>
          <w:b w:val="false"/>
          <w:color w:val="000000"/>
          <w:sz w:val="24"/>
          <w:u w:val="single"/>
        </w:rPr>
        <w:t>Section 13(a)</w:t>
      </w:r>
      <w:r>
        <w:rPr>
          <w:color w:val="000000"/>
        </w:rPr>
        <w:t xml:space="preserve"> </w:t>
      </w:r>
      <w:r>
        <w:rPr>
          <w:rFonts w:ascii="Times New Roman;sans-serif" w:hAnsi="Times New Roman;sans-serif"/>
          <w:b w:val="false"/>
          <w:color w:val="000000"/>
          <w:sz w:val="24"/>
        </w:rPr>
        <w:t xml:space="preserve">shall be conditioned upon such future Landlord’s Mortgagee’s execution and delivery of a subordination, non-disturbance and attornment agreement in the form of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hereto or another form reasonably acceptable to Tenant and such Landlord’s Mortgagee or other institutional lenders.</w:t>
      </w:r>
    </w:p>
    <w:p>
      <w:pPr>
        <w:pStyle w:val="TextBody"/>
        <w:bidi w:val="0"/>
        <w:spacing w:lineRule="auto" w:line="288" w:before="0" w:after="240"/>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u w:val="single"/>
        </w:rPr>
        <w:t>Rules and Regulations; Traffic Rules and Regulations</w:t>
      </w:r>
      <w:r>
        <w:rPr>
          <w:rFonts w:ascii="Times New Roman;sans-serif" w:hAnsi="Times New Roman;sans-serif"/>
          <w:b/>
          <w:color w:val="000000"/>
          <w:sz w:val="24"/>
        </w:rPr>
        <w:t>.</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Rules and Regulations</w:t>
      </w:r>
      <w:r>
        <w:rPr>
          <w:rFonts w:ascii="Times New Roman;sans-serif" w:hAnsi="Times New Roman;sans-serif"/>
          <w:b w:val="false"/>
          <w:color w:val="000000"/>
          <w:sz w:val="24"/>
        </w:rPr>
        <w:t xml:space="preserve">. Tenant shall comply with the rules and regulations of the Project which are attached hereto as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4"/>
        </w:rPr>
        <w:t>. Landlord may, from time to time, change such rules and regulations for the safety, care, or cleanliness of the Project and related facilities, provided that such changes are applicable to all tenants of the Project, will not unreasonably interfere with Tenant's use of the Premises and are enforced by Landlord in a non-discriminatory manner. Tenant shall be responsible for the compliance with such rules and regulations by each Tenant Party.</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88925"/>
                <wp:effectExtent l="0" t="0" r="0" b="0"/>
                <wp:wrapNone/>
                <wp:docPr id="72" name="Frame7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Traffic Rules and Regulations</w:t>
      </w:r>
      <w:r>
        <w:rPr>
          <w:rFonts w:ascii="Times New Roman;sans-serif" w:hAnsi="Times New Roman;sans-serif"/>
          <w:b w:val="false"/>
          <w:color w:val="000000"/>
          <w:sz w:val="24"/>
        </w:rPr>
        <w:t>. In addition to the rules and regulations for the Project, the City of Powder Springs, Georgia (the “</w:t>
      </w:r>
      <w:r>
        <w:rPr>
          <w:rFonts w:ascii="Times New Roman;sans-serif" w:hAnsi="Times New Roman;sans-serif"/>
          <w:b/>
          <w:color w:val="000000"/>
          <w:sz w:val="24"/>
          <w:u w:val="single"/>
        </w:rPr>
        <w:t>City</w:t>
      </w:r>
      <w:r>
        <w:rPr>
          <w:color w:val="000000"/>
        </w:rPr>
        <w:t>”</w:t>
      </w:r>
      <w:r>
        <w:rPr>
          <w:rFonts w:ascii="Times New Roman;sans-serif" w:hAnsi="Times New Roman;sans-serif"/>
          <w:b w:val="false"/>
          <w:color w:val="000000"/>
          <w:sz w:val="24"/>
        </w:rPr>
        <w:t>) has imposed certain restrictions and limitations on the flow of vehicular traffic to and from the Project to nearby public roadways (as amended from time to time, the “</w:t>
      </w:r>
      <w:r>
        <w:rPr>
          <w:rFonts w:ascii="Times New Roman;sans-serif" w:hAnsi="Times New Roman;sans-serif"/>
          <w:b/>
          <w:color w:val="000000"/>
          <w:sz w:val="24"/>
          <w:u w:val="single"/>
        </w:rPr>
        <w:t>Traffic Rules and Regulations</w:t>
      </w:r>
      <w:r>
        <w:rPr>
          <w:color w:val="000000"/>
        </w:rPr>
        <w:t>”</w:t>
      </w:r>
      <w:r>
        <w:rPr>
          <w:rFonts w:ascii="Times New Roman;sans-serif" w:hAnsi="Times New Roman;sans-serif"/>
          <w:b w:val="false"/>
          <w:color w:val="000000"/>
          <w:sz w:val="24"/>
        </w:rPr>
        <w:t xml:space="preserve">). Tenant acknowledges and agrees that Tenant and its employees, customers, contractors, and invitees shall comply with all Traffic Rules and Regulations imposed by the City on the Project as more particularly set forth in </w:t>
      </w:r>
      <w:r>
        <w:rPr>
          <w:rFonts w:ascii="Times New Roman;sans-serif" w:hAnsi="Times New Roman;sans-serif"/>
          <w:b w:val="false"/>
          <w:color w:val="000000"/>
          <w:sz w:val="24"/>
          <w:u w:val="single"/>
        </w:rPr>
        <w:t>Exhibit C-1</w:t>
      </w:r>
      <w:r>
        <w:rPr>
          <w:color w:val="000000"/>
        </w:rPr>
        <w:t xml:space="preserve"> </w:t>
      </w:r>
      <w:r>
        <w:rPr>
          <w:rFonts w:ascii="Times New Roman;sans-serif" w:hAnsi="Times New Roman;sans-serif"/>
          <w:b w:val="false"/>
          <w:color w:val="000000"/>
          <w:sz w:val="24"/>
        </w:rPr>
        <w:t>attached hereto and incorporated herein. In addition to incurring fines or other penalties imposed by the City, failure of Tenant and its employees, customers, contractors, and invitees to comply with the Traffic Rules and Regulations shall be an Event of Default hereunder.</w:t>
      </w:r>
    </w:p>
    <w:p>
      <w:pPr>
        <w:pStyle w:val="TextBody"/>
        <w:bidi w:val="0"/>
        <w:spacing w:lineRule="auto" w:line="288" w:before="0" w:after="240"/>
        <w:ind w:left="0" w:right="0" w:firstLine="720"/>
        <w:jc w:val="both"/>
        <w:rPr/>
      </w:pPr>
      <w:r>
        <w:rPr>
          <w:rFonts w:ascii="Times New Roman;sans-serif" w:hAnsi="Times New Roman;sans-serif"/>
          <w:b/>
          <w:color w:val="000000"/>
          <w:sz w:val="24"/>
        </w:rPr>
        <w:t>15.</w:t>
      </w:r>
      <w:r>
        <w:rPr>
          <w:rFonts w:ascii="Times New Roman;sans-serif" w:hAnsi="Times New Roman;sans-serif"/>
          <w:b/>
          <w:color w:val="000000"/>
          <w:sz w:val="24"/>
          <w:u w:val="single"/>
        </w:rPr>
        <w:t>Condemnation</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Total Taking</w:t>
      </w:r>
      <w:r>
        <w:rPr>
          <w:rFonts w:ascii="Times New Roman;sans-serif" w:hAnsi="Times New Roman;sans-serif"/>
          <w:b w:val="false"/>
          <w:color w:val="000000"/>
          <w:sz w:val="24"/>
        </w:rPr>
        <w:t>. If the entire Building or Premises are taken by right of eminent domain or conveyed in lieu thereof (a "</w:t>
      </w:r>
      <w:r>
        <w:rPr>
          <w:rFonts w:ascii="Times New Roman;sans-serif" w:hAnsi="Times New Roman;sans-serif"/>
          <w:b/>
          <w:color w:val="000000"/>
          <w:sz w:val="24"/>
          <w:u w:val="single"/>
        </w:rPr>
        <w:t>Taking</w:t>
      </w:r>
      <w:r>
        <w:rPr>
          <w:rFonts w:ascii="Times New Roman;sans-serif" w:hAnsi="Times New Roman;sans-serif"/>
          <w:b w:val="false"/>
          <w:color w:val="000000"/>
          <w:sz w:val="24"/>
        </w:rPr>
        <w:t>"), this Lease shall terminate as of the date of the Taking.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Partial Taking - Tenant's Rights</w:t>
      </w:r>
      <w:r>
        <w:rPr>
          <w:rFonts w:ascii="Times New Roman;sans-serif" w:hAnsi="Times New Roman;sans-serif"/>
          <w:b w:val="false"/>
          <w:color w:val="000000"/>
          <w:sz w:val="24"/>
        </w:rPr>
        <w:t>. If any part of the Building becomes subject to a Taking and such Taking will prevent Tenant from conducting on a permanent basis its business in the Premises in a manner reasonably comparable to that conducted immediately before such Taking, then Tenant may terminate this Lease as of the date of such Taking by giving written notice to Landlord within 30 days after the Taking, and Basic Rent and Additional Rent shall be apportioned as of the date of such Taking. If Tenant does not terminate this Lease, then Rent shall be abated on a reasonable basis as to that portion of the Premises rendered untenantable by the Taking.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Partial Taking - Landlord's Rights</w:t>
      </w:r>
      <w:r>
        <w:rPr>
          <w:rFonts w:ascii="Times New Roman;sans-serif" w:hAnsi="Times New Roman;sans-serif"/>
          <w:b w:val="false"/>
          <w:color w:val="000000"/>
          <w:sz w:val="24"/>
        </w:rPr>
        <w:t>. If any material portion, but less than all, of the Building becomes subject to a 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Rent shall abate as provided in the last sentence of Section </w:t>
      </w:r>
      <w:r>
        <w:rPr>
          <w:rFonts w:ascii="Times New Roman;sans-serif" w:hAnsi="Times New Roman;sans-serif"/>
          <w:b w:val="false"/>
          <w:color w:val="000000"/>
          <w:sz w:val="22"/>
        </w:rPr>
        <w:t>15(b)</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Temporary Taking</w:t>
      </w:r>
      <w:r>
        <w:rPr>
          <w:rFonts w:ascii="Times New Roman;sans-serif" w:hAnsi="Times New Roman;sans-serif"/>
          <w:b w:val="false"/>
          <w:color w:val="000000"/>
          <w:sz w:val="24"/>
        </w:rPr>
        <w:t>. If all or any portion of the Premises becomes subject to a Taking for a limited period of time, this Lease shall remain in full force and effect and Tenant shall continue to perform all of the terms, conditions and covenants of this Lease, including the payment of Basic Rent and all other amounts required hereunder. If any such temporary Taking terminates prior to the expiration of the Term, Tenant shall restore the Premises as nearly as possible to the condition prior to such temporary Taking, at Tenant's sole cost and expense. Landlord shall be entitled to receive the entire award for any such temporary Taking, except that Tenant shall be entitled to receive the portion of such award which (1) compensates Tenant for its loss of use of the Premises within the Term and (2) reimburses Tenant for the reasonable out-of-pocket costs actually incurred by Tenant to restore the Premises as required by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88925"/>
                <wp:effectExtent l="0" t="0" r="0" b="0"/>
                <wp:wrapNone/>
                <wp:docPr id="73" name="Frame7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Award</w:t>
      </w:r>
      <w:r>
        <w:rPr>
          <w:rFonts w:ascii="Times New Roman;sans-serif" w:hAnsi="Times New Roman;sans-serif"/>
          <w:b w:val="false"/>
          <w:color w:val="000000"/>
          <w:sz w:val="24"/>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pStyle w:val="TextBody"/>
        <w:bidi w:val="0"/>
        <w:spacing w:lineRule="auto" w:line="288" w:before="0" w:after="240"/>
        <w:ind w:left="0" w:right="0" w:firstLine="720"/>
        <w:jc w:val="both"/>
        <w:rPr/>
      </w:pPr>
      <w:r>
        <w:rPr>
          <w:rFonts w:ascii="Times New Roman;sans-serif" w:hAnsi="Times New Roman;sans-serif"/>
          <w:b/>
          <w:color w:val="000000"/>
          <w:sz w:val="24"/>
        </w:rPr>
        <w:t>16.</w:t>
      </w:r>
      <w:r>
        <w:rPr>
          <w:rFonts w:ascii="Times New Roman;sans-serif" w:hAnsi="Times New Roman;sans-serif"/>
          <w:b/>
          <w:color w:val="000000"/>
          <w:sz w:val="24"/>
          <w:u w:val="single"/>
        </w:rPr>
        <w:t>Fire or Other Casualty</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Repair Estimate</w:t>
      </w:r>
      <w:r>
        <w:rPr>
          <w:rFonts w:ascii="Times New Roman;sans-serif" w:hAnsi="Times New Roman;sans-serif"/>
          <w:b w:val="false"/>
          <w:color w:val="000000"/>
          <w:sz w:val="24"/>
        </w:rPr>
        <w:t>. If the Premises or the Building are damaged by fire or other casualty (a "</w:t>
      </w:r>
      <w:r>
        <w:rPr>
          <w:rFonts w:ascii="Times New Roman;sans-serif" w:hAnsi="Times New Roman;sans-serif"/>
          <w:b/>
          <w:color w:val="000000"/>
          <w:sz w:val="24"/>
          <w:u w:val="single"/>
        </w:rPr>
        <w:t>Casualty</w:t>
      </w:r>
      <w:r>
        <w:rPr>
          <w:rFonts w:ascii="Times New Roman;sans-serif" w:hAnsi="Times New Roman;sans-serif"/>
          <w:b w:val="false"/>
          <w:color w:val="000000"/>
          <w:sz w:val="24"/>
        </w:rPr>
        <w:t>"), Landlord shall, within 90 days after such Casualty, deliver to Tenant a good faith estimate (the "</w:t>
      </w:r>
      <w:r>
        <w:rPr>
          <w:rFonts w:ascii="Times New Roman;sans-serif" w:hAnsi="Times New Roman;sans-serif"/>
          <w:b/>
          <w:color w:val="000000"/>
          <w:sz w:val="24"/>
          <w:u w:val="single"/>
        </w:rPr>
        <w:t>Damage Notice</w:t>
      </w:r>
      <w:r>
        <w:rPr>
          <w:rFonts w:ascii="Times New Roman;sans-serif" w:hAnsi="Times New Roman;sans-serif"/>
          <w:b w:val="false"/>
          <w:color w:val="000000"/>
          <w:sz w:val="24"/>
        </w:rPr>
        <w:t>") of the time needed to repair the damage caused by such Casualty.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Tenant's Rights</w:t>
      </w:r>
      <w:r>
        <w:rPr>
          <w:rFonts w:ascii="Times New Roman;sans-serif" w:hAnsi="Times New Roman;sans-serif"/>
          <w:b w:val="false"/>
          <w:color w:val="000000"/>
          <w:sz w:val="24"/>
        </w:rPr>
        <w:t>. If a material portion of the Premises is damaged by Casualty such that Tenant is prevented from conducting its business in the Premises in a manner reasonably comparable to that conducted immediately before such Casualty and Landlord estimates that the damage caused thereby cannot be repaired within 270 days after the commencement of repairs (the "</w:t>
      </w:r>
      <w:r>
        <w:rPr>
          <w:rFonts w:ascii="Times New Roman;sans-serif" w:hAnsi="Times New Roman;sans-serif"/>
          <w:b/>
          <w:color w:val="000000"/>
          <w:sz w:val="24"/>
          <w:u w:val="single"/>
        </w:rPr>
        <w:t>Repair Period</w:t>
      </w:r>
      <w:r>
        <w:rPr>
          <w:rFonts w:ascii="Times New Roman;sans-serif" w:hAnsi="Times New Roman;sans-serif"/>
          <w:b w:val="false"/>
          <w:color w:val="000000"/>
          <w:sz w:val="24"/>
        </w:rPr>
        <w:t>"), then Tenant may terminate this Lease by delivering written notice to Landlord of its election to terminate within 30 days after the Damage Notice has been delivered to Tenant.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Landlord's Rights</w:t>
      </w:r>
      <w:r>
        <w:rPr>
          <w:rFonts w:ascii="Times New Roman;sans-serif" w:hAnsi="Times New Roman;sans-serif"/>
          <w:b w:val="false"/>
          <w:color w:val="000000"/>
          <w:sz w:val="24"/>
        </w:rPr>
        <w:t>. If a Casualty damages the Premises or a material portion of the Building and (1) Landlord estimates that the damage to the Premises cannot be repaired within the Repair Period, (2) the damage to the Premises exceeds 50% of the replacement cost thereof (excluding foundations and footings), as estimated by Landlord, and such damage occurs during the last two years of the Term, (3) regardless of the extent of damage to the Premises, the damage is not fully covered by Landlord's insurance policies plus applicable deductibles (provided Landlord carries the insurance required hereunder) or Landlord makes a good faith determination that restoring the Building would be uneconomical, or (4) Landlord is required to pay any insurance proceeds arising out of the Casualty to a Landlord's Mortgagee such that remaining insurance proceeds are insufficient to cover the costs of rebuilding, then Landlord may terminate this Lease by giving written notice of its election to terminate within 30 days after the Damage Notice has been delivered to Tenant.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Repair Obligation</w:t>
      </w:r>
      <w:r>
        <w:rPr>
          <w:rFonts w:ascii="Times New Roman;sans-serif" w:hAnsi="Times New Roman;sans-serif"/>
          <w:b w:val="false"/>
          <w:color w:val="000000"/>
          <w:sz w:val="24"/>
        </w:rPr>
        <w:t>. If neither party elects to terminate this Lease following a Casualty, then Landlord shall, within a reasonable time after such Casualty, begin to repair the Premises and shall proceed with reasonable diligence to restore the Premises to substantially the same condition as they existed immediately before such Casualty; however,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(plus applicable deductible amounts). If this Lease is terminated under the provisions of this Section </w:t>
      </w:r>
      <w:r>
        <w:rPr>
          <w:rFonts w:ascii="Times New Roman;sans-serif" w:hAnsi="Times New Roman;sans-serif"/>
          <w:b w:val="false"/>
          <w:color w:val="000000"/>
          <w:sz w:val="22"/>
        </w:rPr>
        <w:t>16</w:t>
      </w:r>
      <w:r>
        <w:rPr>
          <w:rFonts w:ascii="Times New Roman;sans-serif" w:hAnsi="Times New Roman;sans-serif"/>
          <w:b w:val="false"/>
          <w:color w:val="000000"/>
          <w:sz w:val="24"/>
        </w:rPr>
        <w:t xml:space="preserve">, Landlord shall be entitled to the full proceeds of the insurance policies providing coverage for all alterations, improvements and betterments in the Premises (and, if Tenant has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88925"/>
                <wp:effectExtent l="0" t="0" r="0" b="0"/>
                <wp:wrapNone/>
                <wp:docPr id="74" name="Frame7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failed to maintain insurance on such items as required by this Lease, Tenant shall pay Landlord an amount equal to the proceeds Landlord would have received had Tenant maintained insurance on such items as required by this Lease).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Abatement of Rent</w:t>
      </w:r>
      <w:r>
        <w:rPr>
          <w:rFonts w:ascii="Times New Roman;sans-serif" w:hAnsi="Times New Roman;sans-serif"/>
          <w:b w:val="false"/>
          <w:color w:val="000000"/>
          <w:sz w:val="24"/>
        </w:rPr>
        <w:t>. If the Premises are damaged by Casualty, Rent for the portion of the Premises rendered untenantable by the damage shall be abated on a reasonable basis from the date of damage until the completion of Landlord's repairs (or until the date of termination of this Lease by Landlord or Tenant as provided above, as the case may be), unless the gross negligence or willful misconduct of a Tenant Party caused such damage, in which case, Tenant shall continue to pay Rent without abatement.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17.</w:t>
      </w:r>
      <w:r>
        <w:rPr>
          <w:rFonts w:ascii="Times New Roman;sans-serif" w:hAnsi="Times New Roman;sans-serif"/>
          <w:b/>
          <w:color w:val="000000"/>
          <w:sz w:val="24"/>
          <w:u w:val="single"/>
        </w:rPr>
        <w:t>Personal Property Taxes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be liable for all taxes levied or assessed against personal property, furniture, or fixtures placed by Tenant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p>
    <w:p>
      <w:pPr>
        <w:pStyle w:val="TextBody"/>
        <w:bidi w:val="0"/>
        <w:spacing w:lineRule="auto" w:line="288" w:before="0" w:after="240"/>
        <w:ind w:left="0" w:right="0" w:firstLine="720"/>
        <w:jc w:val="both"/>
        <w:rPr/>
      </w:pPr>
      <w:r>
        <w:rPr>
          <w:rFonts w:ascii="Times New Roman;sans-serif" w:hAnsi="Times New Roman;sans-serif"/>
          <w:b/>
          <w:color w:val="000000"/>
          <w:sz w:val="24"/>
        </w:rPr>
        <w:t>18.</w:t>
      </w:r>
      <w:r>
        <w:rPr>
          <w:rFonts w:ascii="Times New Roman;sans-serif" w:hAnsi="Times New Roman;sans-serif"/>
          <w:b/>
          <w:color w:val="000000"/>
          <w:sz w:val="24"/>
          <w:u w:val="single"/>
        </w:rPr>
        <w:t>Events of Default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Each of the following occurrences shall be an "</w:t>
      </w:r>
      <w:r>
        <w:rPr>
          <w:rFonts w:ascii="Times New Roman;sans-serif" w:hAnsi="Times New Roman;sans-serif"/>
          <w:b/>
          <w:color w:val="000000"/>
          <w:sz w:val="24"/>
          <w:u w:val="single"/>
        </w:rPr>
        <w:t>Event of Default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Payment Default</w:t>
      </w:r>
      <w:r>
        <w:rPr>
          <w:rFonts w:ascii="Times New Roman;sans-serif" w:hAnsi="Times New Roman;sans-serif"/>
          <w:b w:val="false"/>
          <w:color w:val="000000"/>
          <w:sz w:val="24"/>
        </w:rPr>
        <w:t>. Tenant's failure to pay Rent within three (3) business days of the date due, which failure continues for five (5) days after Landlord has delivered written notice to Tenant that the same is due; however, an Event of Default shall occur hereunder without any obligation of Landlord to give any notice if Tenant fails to pay Rent within three (3) business days of the date due and, during the 12 month interval preceding such failure, Landlord has given Tenant written notice of failure to pay Rent on one or more occasions;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Abandonment</w:t>
      </w:r>
      <w:r>
        <w:rPr>
          <w:rFonts w:ascii="Times New Roman;sans-serif" w:hAnsi="Times New Roman;sans-serif"/>
          <w:b w:val="false"/>
          <w:color w:val="000000"/>
          <w:sz w:val="24"/>
        </w:rPr>
        <w:t>. Tenant abandons or vacates the Premises or any substantial portion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Estoppel</w:t>
      </w:r>
      <w:r>
        <w:rPr>
          <w:rFonts w:ascii="Times New Roman;sans-serif" w:hAnsi="Times New Roman;sans-serif"/>
          <w:b w:val="false"/>
          <w:color w:val="000000"/>
          <w:sz w:val="24"/>
        </w:rPr>
        <w:t>. Tenant fails to provide any estoppel certificate after Landlord's written request therefor pursuant to Section </w:t>
      </w:r>
      <w:r>
        <w:rPr>
          <w:rFonts w:ascii="Times New Roman;sans-serif" w:hAnsi="Times New Roman;sans-serif"/>
          <w:b w:val="false"/>
          <w:color w:val="000000"/>
          <w:sz w:val="22"/>
        </w:rPr>
        <w:t>26(e)</w:t>
      </w:r>
      <w:r>
        <w:rPr>
          <w:color w:val="000000"/>
        </w:rPr>
        <w:t xml:space="preserve"> </w:t>
      </w:r>
      <w:r>
        <w:rPr>
          <w:rFonts w:ascii="Times New Roman;sans-serif" w:hAnsi="Times New Roman;sans-serif"/>
          <w:b w:val="false"/>
          <w:color w:val="000000"/>
          <w:sz w:val="24"/>
        </w:rPr>
        <w:t>and such failure shall continue for five days after Landlord's second written notice thereof to Tenant;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Tenant fails to procure, maintain and deliver to Landlord evidence of the insurance policies and coverages as required under Section </w:t>
      </w:r>
      <w:r>
        <w:rPr>
          <w:rFonts w:ascii="Times New Roman;sans-serif" w:hAnsi="Times New Roman;sans-serif"/>
          <w:b w:val="false"/>
          <w:color w:val="000000"/>
          <w:sz w:val="22"/>
        </w:rPr>
        <w:t>12(a)</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Mechanic's Liens</w:t>
      </w:r>
      <w:r>
        <w:rPr>
          <w:rFonts w:ascii="Times New Roman;sans-serif" w:hAnsi="Times New Roman;sans-serif"/>
          <w:b w:val="false"/>
          <w:color w:val="000000"/>
          <w:sz w:val="24"/>
        </w:rPr>
        <w:t xml:space="preserve">. Tenant fails to pay and release of record, or diligently contest and bond around, any mechanic's lien filed against the Premises or the Project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88925"/>
                <wp:effectExtent l="0" t="0" r="0" b="0"/>
                <wp:wrapNone/>
                <wp:docPr id="75" name="Frame7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work performed, materials furnished, or obligation incurred by or at the request of Tenant, within the time and in the manner required by Section </w:t>
      </w:r>
      <w:r>
        <w:rPr>
          <w:rFonts w:ascii="Times New Roman;sans-serif" w:hAnsi="Times New Roman;sans-serif"/>
          <w:b w:val="false"/>
          <w:color w:val="000000"/>
          <w:sz w:val="22"/>
        </w:rPr>
        <w:t>8(d)</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Other Defaults</w:t>
      </w:r>
      <w:r>
        <w:rPr>
          <w:rFonts w:ascii="Times New Roman;sans-serif" w:hAnsi="Times New Roman;sans-serif"/>
          <w:b w:val="false"/>
          <w:color w:val="000000"/>
          <w:sz w:val="24"/>
        </w:rPr>
        <w:t>. Tenant's failure to perform, comply with, or observe any other agreement or obligation of Tenant under this Lease and the continuance of such failure for a period of more than 30 days after Landlord has delivered to Tenant written notice thereof provided, however, that if the nature of Tenant's failure to perform is such that more than thirty (30) days are reasonably required to cure, then such failure to perform shall be deemed to have been cured if Tenant commences such performance within said thirty (30) day period and thereafter diligently pursues such cure to completion within a reasonable time;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Insolvency</w:t>
      </w:r>
      <w:r>
        <w:rPr>
          <w:rFonts w:ascii="Times New Roman;sans-serif" w:hAnsi="Times New Roman;sans-serif"/>
          <w:b w:val="false"/>
          <w:color w:val="000000"/>
          <w:sz w:val="24"/>
        </w:rPr>
        <w:t>. The filing of a petition by or against Tenant (the term "</w:t>
      </w:r>
      <w:r>
        <w:rPr>
          <w:rFonts w:ascii="Times New Roman;sans-serif" w:hAnsi="Times New Roman;sans-serif"/>
          <w:b/>
          <w:color w:val="000000"/>
          <w:sz w:val="24"/>
          <w:u w:val="single"/>
        </w:rPr>
        <w:t>Tenant</w:t>
      </w:r>
      <w:r>
        <w:rPr>
          <w:rFonts w:ascii="Times New Roman;sans-serif" w:hAnsi="Times New Roman;sans-serif"/>
          <w:b w:val="false"/>
          <w:color w:val="000000"/>
          <w:sz w:val="24"/>
        </w:rPr>
        <w:t>" shall include, for the purpose of this Section </w:t>
      </w:r>
      <w:r>
        <w:rPr>
          <w:rFonts w:ascii="Times New Roman;sans-serif" w:hAnsi="Times New Roman;sans-serif"/>
          <w:b w:val="false"/>
          <w:color w:val="000000"/>
          <w:sz w:val="22"/>
        </w:rPr>
        <w:t>18(g)</w:t>
      </w:r>
      <w:r>
        <w:rPr>
          <w:rFonts w:ascii="Times New Roman;sans-serif" w:hAnsi="Times New Roman;sans-serif"/>
          <w:b w:val="false"/>
          <w:color w:val="000000"/>
          <w:sz w:val="24"/>
        </w:rPr>
        <w:t>,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(4) for the reorganization or modification of Tenant's capital structure; or (5)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19.</w:t>
      </w:r>
      <w:r>
        <w:rPr>
          <w:rFonts w:ascii="Times New Roman;sans-serif" w:hAnsi="Times New Roman;sans-serif"/>
          <w:b/>
          <w:color w:val="000000"/>
          <w:sz w:val="24"/>
          <w:u w:val="single"/>
        </w:rPr>
        <w:t>Remedies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any other Event of Default, Landlord may, in addition to all other rights and remedies afforded Landlord hereunder or by law or equity, take any one or more of the following actions: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of Lease</w:t>
      </w:r>
      <w:r>
        <w:rPr>
          <w:rFonts w:ascii="Times New Roman;sans-serif" w:hAnsi="Times New Roman;sans-serif"/>
          <w:b w:val="false"/>
          <w:color w:val="000000"/>
          <w:sz w:val="24"/>
        </w:rPr>
        <w:t>. Terminate this Lease by giving Tenant written notice thereof, in which event Tenant shall pay to Landlord the sum of (1) all Rent accrued hereunder through the date of termination, (2) all amounts due under Section </w:t>
      </w:r>
      <w:r>
        <w:rPr>
          <w:rFonts w:ascii="Times New Roman;sans-serif" w:hAnsi="Times New Roman;sans-serif"/>
          <w:b w:val="false"/>
          <w:color w:val="000000"/>
          <w:sz w:val="22"/>
        </w:rPr>
        <w:t>20(a)</w:t>
      </w:r>
      <w:r>
        <w:rPr>
          <w:rFonts w:ascii="Times New Roman;sans-serif" w:hAnsi="Times New Roman;sans-serif"/>
          <w:b w:val="false"/>
          <w:color w:val="000000"/>
          <w:sz w:val="24"/>
        </w:rPr>
        <w:t>, and (3) an amount equal to (A) the total Rent that Tenant would have been required to pay for the remainder of the Term discounted to present value at a per annum rate equal to the "Prime Rate" as published on the date this Lease is terminated by The Wall Street Journal, Southwest Edition, in its listing of "Money Rates" minus one percent, minus (B) the then present fair rental value of the Premises for such period, similarly discounted;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of Possession</w:t>
      </w:r>
      <w:r>
        <w:rPr>
          <w:rFonts w:ascii="Times New Roman;sans-serif" w:hAnsi="Times New Roman;sans-serif"/>
          <w:b w:val="false"/>
          <w:color w:val="000000"/>
          <w:sz w:val="24"/>
        </w:rPr>
        <w:t>. Terminate Tenant's right to possess the Premises without terminating this Lease by giving written notice thereof to Tenant, in which event Tenant shall pay to Landlord (1) all Rent and other amounts accrued hereunder to the date of termination of possession, (2) all amounts due from time to time under Section </w:t>
      </w:r>
      <w:r>
        <w:rPr>
          <w:rFonts w:ascii="Times New Roman;sans-serif" w:hAnsi="Times New Roman;sans-serif"/>
          <w:b w:val="false"/>
          <w:color w:val="000000"/>
          <w:sz w:val="22"/>
        </w:rPr>
        <w:t>20(a)</w:t>
      </w:r>
      <w:r>
        <w:rPr>
          <w:rFonts w:ascii="Times New Roman;sans-serif" w:hAnsi="Times New Roman;sans-serif"/>
          <w:b w:val="false"/>
          <w:color w:val="000000"/>
          <w:sz w:val="24"/>
        </w:rPr>
        <w:t>, and (3) all Rent and other net sums required hereunder to be paid by Tenant during the remainder of the Term, diminished by any net sums thereafter received by Landlord through reletting the Premises during such period, after deducting all reasonable costs incurred by Landlord in reletting the Premises. If Landlord elects to proceed under this Section </w:t>
      </w:r>
      <w:r>
        <w:rPr>
          <w:rFonts w:ascii="Times New Roman;sans-serif" w:hAnsi="Times New Roman;sans-serif"/>
          <w:b w:val="false"/>
          <w:color w:val="000000"/>
          <w:sz w:val="22"/>
        </w:rPr>
        <w:t>19(b)</w:t>
      </w:r>
      <w:r>
        <w:rPr>
          <w:rFonts w:ascii="Times New Roman;sans-serif" w:hAnsi="Times New Roman;sans-serif"/>
          <w:b w:val="false"/>
          <w:color w:val="000000"/>
          <w:sz w:val="24"/>
        </w:rPr>
        <w:t xml:space="preserve">, Landlord may remove all of Tenant's property from the Premises and store the same in a public warehouse or elsewhere at the cost of, and for the account of, Tenant, without becoming liable for any loss or damage which may be occasioned thereby. Landlord shall use reasonable efforts to relet the Premises on such terms as Landlord in its sole reasonable discretion may determine (including a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88925"/>
                <wp:effectExtent l="0" t="0" r="0" b="0"/>
                <wp:wrapNone/>
                <wp:docPr id="76" name="Frame7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 different from the Term, rental concessions, and alterations to, and improvement of, the Premises); however, Landlord shall not be obligated to relet the Premises before leasing other portions of the Building or Complex and Landlord shall not be obligated to accept any prospective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Section 19(b). If Landlord elects to proceed under this Section 19(b), it may at any time elect to terminate this Lease under Section 19(a);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Perform Acts on Behalf of Tenant</w:t>
      </w:r>
      <w:r>
        <w:rPr>
          <w:rFonts w:ascii="Times New Roman;sans-serif" w:hAnsi="Times New Roman;sans-serif"/>
          <w:b w:val="false"/>
          <w:color w:val="000000"/>
          <w:sz w:val="24"/>
        </w:rPr>
        <w:t>. Perform any act Tenant is obligated to perform under the terms of this Lease (and enter upon the Premises in connection therewith if necessary) in Tenant's name and on Tenant's behalf, without being liable for any claim for damages therefor, except to the extent due to Landlord's gross negligence or willful misconduct in performing such obligation, and Tenant shall reimburse Landlord on demand for any reasonable expenses which Landlord may incur in thus effecting compliance with Tenant's obligations under this Lease (including, but not limited to, collection costs and legal expenses), plus interest thereon at the Default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Suspension of Services</w:t>
      </w:r>
      <w:r>
        <w:rPr>
          <w:rFonts w:ascii="Times New Roman;sans-serif" w:hAnsi="Times New Roman;sans-serif"/>
          <w:b w:val="false"/>
          <w:color w:val="000000"/>
          <w:sz w:val="24"/>
        </w:rPr>
        <w:t>. Suspend any services required to be provided by Landlord hereunder without being liable for any claim for damages therefor;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Alteration of Locks</w:t>
      </w:r>
      <w:r>
        <w:rPr>
          <w:rFonts w:ascii="Times New Roman;sans-serif" w:hAnsi="Times New Roman;sans-serif"/>
          <w:b w:val="false"/>
          <w:color w:val="000000"/>
          <w:sz w:val="24"/>
        </w:rPr>
        <w:t>. Additionally, with or without notice, and to the extent permitted by Law, Landlord may alter locks or other security devices at the Premises to deprive Tenant of access thereto, and Landlord shall not be required to provide a new key or right of access to Tenant.</w:t>
      </w:r>
    </w:p>
    <w:p>
      <w:pPr>
        <w:pStyle w:val="TextBody"/>
        <w:bidi w:val="0"/>
        <w:spacing w:lineRule="auto" w:line="288" w:before="0" w:after="240"/>
        <w:ind w:left="0" w:right="0" w:firstLine="720"/>
        <w:jc w:val="both"/>
        <w:rPr/>
      </w:pPr>
      <w:r>
        <w:rPr>
          <w:rFonts w:ascii="Times New Roman;sans-serif" w:hAnsi="Times New Roman;sans-serif"/>
          <w:b/>
          <w:color w:val="000000"/>
          <w:sz w:val="24"/>
        </w:rPr>
        <w:t>20.</w:t>
      </w:r>
      <w:r>
        <w:rPr>
          <w:rFonts w:ascii="Times New Roman;sans-serif" w:hAnsi="Times New Roman;sans-serif"/>
          <w:b/>
          <w:color w:val="000000"/>
          <w:sz w:val="24"/>
          <w:u w:val="single"/>
        </w:rPr>
        <w:t>Payment by Tenant; Non-Waiver; Cumulative Remedies</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Payment by Tenant</w:t>
      </w:r>
      <w:r>
        <w:rPr>
          <w:rFonts w:ascii="Times New Roman;sans-serif" w:hAnsi="Times New Roman;sans-serif"/>
          <w:b w:val="false"/>
          <w:color w:val="000000"/>
          <w:sz w:val="24"/>
        </w:rPr>
        <w:t>. Upon any Event of Default, Tenant shall pay to Landlord all costs incurred by Landlord (including court costs and reasonable attorneys' fees and expenses) in (1) obtaining possession of the Premises, (2) removing and storing Tenant's or any other occupant's property, (3) repairing, restoring, altering, remodeling, or otherwise putting the Premises into the condition required at expiration of the Term, (4) if Tenant is dispossessed of the Premises and this Lease is not terminated, reletting all or any part of the Premises (including reasonable brokerage commissions, cost of tenant finish work, and other costs incidental to such reletting), (5) performing Tenant's obligations which Tenant failed to perform, and (6) enforcing, or advising Landlord of, its rights, remedies, and recourses arising out of the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88925"/>
                <wp:effectExtent l="0" t="0" r="0" b="0"/>
                <wp:wrapNone/>
                <wp:docPr id="77" name="Frame7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Landlord's acceptance of Rent following an Event of Default shall not waive Landlord's rights regarding such Event of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Cumulative Remedies</w:t>
      </w:r>
      <w:r>
        <w:rPr>
          <w:rFonts w:ascii="Times New Roman;sans-serif" w:hAnsi="Times New Roman;sans-serif"/>
          <w:b w:val="false"/>
          <w:color w:val="000000"/>
          <w:sz w:val="24"/>
        </w:rPr>
        <w:t>. Any and all remedies set forth in this Lease: (1) shall be in addition to any and all other 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p>
    <w:p>
      <w:pPr>
        <w:pStyle w:val="TextBody"/>
        <w:bidi w:val="0"/>
        <w:spacing w:lineRule="auto" w:line="288" w:before="0" w:after="240"/>
        <w:ind w:left="0" w:right="0" w:firstLine="720"/>
        <w:jc w:val="both"/>
        <w:rPr/>
      </w:pPr>
      <w:r>
        <w:rPr>
          <w:rFonts w:ascii="Times New Roman;sans-serif" w:hAnsi="Times New Roman;sans-serif"/>
          <w:b/>
          <w:color w:val="000000"/>
          <w:sz w:val="24"/>
        </w:rPr>
        <w:t>21.</w:t>
      </w:r>
      <w:r>
        <w:rPr>
          <w:rFonts w:ascii="Times New Roman;sans-serif" w:hAnsi="Times New Roman;sans-serif"/>
          <w:b/>
          <w:color w:val="000000"/>
          <w:sz w:val="24"/>
          <w:u w:val="single"/>
        </w:rPr>
        <w:t>Landlord's Lien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[Intentionally Omitted].</w:t>
      </w:r>
    </w:p>
    <w:p>
      <w:pPr>
        <w:pStyle w:val="TextBody"/>
        <w:bidi w:val="0"/>
        <w:spacing w:lineRule="auto" w:line="288" w:before="0" w:after="240"/>
        <w:ind w:left="0" w:right="0" w:firstLine="720"/>
        <w:jc w:val="both"/>
        <w:rPr/>
      </w:pPr>
      <w:r>
        <w:rPr>
          <w:rFonts w:ascii="Times New Roman;sans-serif" w:hAnsi="Times New Roman;sans-serif"/>
          <w:b/>
          <w:color w:val="000000"/>
          <w:sz w:val="24"/>
        </w:rPr>
        <w:t>22.</w:t>
      </w:r>
      <w:r>
        <w:rPr>
          <w:rFonts w:ascii="Times New Roman;sans-serif" w:hAnsi="Times New Roman;sans-serif"/>
          <w:b/>
          <w:color w:val="000000"/>
          <w:sz w:val="24"/>
          <w:u w:val="single"/>
        </w:rPr>
        <w:t>Surrender of Premises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not caused by Tenant, as to which Sections </w:t>
      </w:r>
      <w:r>
        <w:rPr>
          <w:rFonts w:ascii="Times New Roman;sans-serif" w:hAnsi="Times New Roman;sans-serif"/>
          <w:b w:val="false"/>
          <w:color w:val="000000"/>
          <w:sz w:val="22"/>
        </w:rPr>
        <w:t>15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2"/>
        </w:rPr>
        <w:t>16</w:t>
      </w:r>
      <w:r>
        <w:rPr>
          <w:color w:val="000000"/>
        </w:rPr>
        <w:t xml:space="preserve"> </w:t>
      </w:r>
      <w:r>
        <w:rPr>
          <w:rFonts w:ascii="Times New Roman;sans-serif" w:hAnsi="Times New Roman;sans-serif"/>
          <w:b w:val="false"/>
          <w:color w:val="000000"/>
          <w:sz w:val="24"/>
        </w:rPr>
        <w:t>shall control) excepted, and shall deliver to Landlord all keys to the Premises. Provided that no default then exists under this Lease, Tenant may remove all unattached trade fixtures, furniture, and personal property placed in the Premises or elsewhere in the Building by Tenant (but Tenant may not remove any such item which was paid for, in whole or in part, by Landlord or any freezer/cooler improvements, wiring or cabling unless Landlord requires such removal). Additionally, Tenant shall remove such alterations, additions, improvements, trade fixtures, personal property, equipment, wiring, conduits, cabling, and furniture (including Tenant's Off-Premises Equipment) as Landlord requests; however, Tenant shall not be required to remove any addition or improvement to the Premises or the Project if Landlord has specifically agreed in writing that the improvement or addition in question need not be removed. Tenant shall repair all damage caused by such removal. All items not so removed shall, at Landlord's option, be deemed to have been abandoned by Tenant and may be appropriated, sold, stored, destroyed, or otherwise disposed of by Landlord without notice to Tenant and without any obligation to account for such items; any such disposition shall not be considered a strict foreclosure or other exercise of Landlord's rights in respect of the security interest granted under Section </w:t>
      </w:r>
      <w:r>
        <w:rPr>
          <w:rFonts w:ascii="Times New Roman;sans-serif" w:hAnsi="Times New Roman;sans-serif"/>
          <w:b w:val="false"/>
          <w:color w:val="000000"/>
          <w:sz w:val="22"/>
        </w:rPr>
        <w:t>21</w:t>
      </w:r>
      <w:r>
        <w:rPr>
          <w:rFonts w:ascii="Times New Roman;sans-serif" w:hAnsi="Times New Roman;sans-serif"/>
          <w:b w:val="false"/>
          <w:color w:val="000000"/>
          <w:sz w:val="24"/>
        </w:rPr>
        <w:t>. The provisions of this Section </w:t>
      </w:r>
      <w:r>
        <w:rPr>
          <w:rFonts w:ascii="Times New Roman;sans-serif" w:hAnsi="Times New Roman;sans-serif"/>
          <w:b w:val="false"/>
          <w:color w:val="000000"/>
          <w:sz w:val="22"/>
        </w:rPr>
        <w:t>22</w:t>
      </w:r>
      <w:r>
        <w:rPr>
          <w:color w:val="000000"/>
        </w:rPr>
        <w:t xml:space="preserve"> </w:t>
      </w:r>
      <w:r>
        <w:rPr>
          <w:rFonts w:ascii="Times New Roman;sans-serif" w:hAnsi="Times New Roman;sans-serif"/>
          <w:b w:val="false"/>
          <w:color w:val="000000"/>
          <w:sz w:val="24"/>
        </w:rPr>
        <w:t>shall survive the end of the Term.</w:t>
      </w:r>
    </w:p>
    <w:p>
      <w:pPr>
        <w:pStyle w:val="TextBody"/>
        <w:bidi w:val="0"/>
        <w:spacing w:lineRule="auto" w:line="288" w:before="0" w:after="240"/>
        <w:ind w:left="0" w:right="0" w:firstLine="720"/>
        <w:jc w:val="both"/>
        <w:rPr/>
      </w:pPr>
      <w:r>
        <w:rPr>
          <w:rFonts w:ascii="Times New Roman;sans-serif" w:hAnsi="Times New Roman;sans-serif"/>
          <w:b/>
          <w:color w:val="000000"/>
          <w:sz w:val="24"/>
        </w:rPr>
        <w:t>23.</w:t>
      </w:r>
      <w:r>
        <w:rPr>
          <w:rFonts w:ascii="Times New Roman;sans-serif" w:hAnsi="Times New Roman;sans-serif"/>
          <w:b/>
          <w:color w:val="000000"/>
          <w:sz w:val="24"/>
          <w:u w:val="single"/>
        </w:rPr>
        <w:t>Holding Over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Tenant fails to vacate the Premises at the end of the Term, then Tenant shall be a tenant at sufferance and, (a) Tenant shall pay, in addition to the other Rent, Basic Rent equal to 150% of the Rent payable during the last month of the Term, and (b) Tenant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88925"/>
                <wp:effectExtent l="0" t="0" r="0" b="0"/>
                <wp:wrapNone/>
                <wp:docPr id="78" name="Frame7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shall otherwise continue to be subject to all of Tenant's obligations under this Lease. The provisions of this Section </w:t>
      </w:r>
      <w:r>
        <w:rPr>
          <w:rFonts w:ascii="Times New Roman;sans-serif" w:hAnsi="Times New Roman;sans-serif"/>
          <w:b w:val="false"/>
          <w:color w:val="000000"/>
          <w:sz w:val="22"/>
        </w:rPr>
        <w:t>23</w:t>
      </w:r>
      <w:r>
        <w:rPr>
          <w:color w:val="000000"/>
        </w:rPr>
        <w:t xml:space="preserve"> </w:t>
      </w:r>
      <w:r>
        <w:rPr>
          <w:rFonts w:ascii="Times New Roman;sans-serif" w:hAnsi="Times New Roman;sans-serif"/>
          <w:b w:val="false"/>
          <w:color w:val="000000"/>
          <w:sz w:val="24"/>
        </w:rPr>
        <w:t>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w:t>
      </w:r>
    </w:p>
    <w:p>
      <w:pPr>
        <w:pStyle w:val="TextBody"/>
        <w:bidi w:val="0"/>
        <w:spacing w:lineRule="auto" w:line="288" w:before="0" w:after="240"/>
        <w:ind w:left="0" w:right="0" w:firstLine="720"/>
        <w:jc w:val="both"/>
        <w:rPr/>
      </w:pPr>
      <w:r>
        <w:rPr>
          <w:rFonts w:ascii="Times New Roman;sans-serif" w:hAnsi="Times New Roman;sans-serif"/>
          <w:b/>
          <w:color w:val="000000"/>
          <w:sz w:val="24"/>
        </w:rPr>
        <w:t>24.</w:t>
      </w:r>
      <w:r>
        <w:rPr>
          <w:rFonts w:ascii="Times New Roman;sans-serif" w:hAnsi="Times New Roman;sans-serif"/>
          <w:b/>
          <w:color w:val="000000"/>
          <w:sz w:val="24"/>
          <w:u w:val="single"/>
        </w:rPr>
        <w:t>Certain Rights Reserved by Landlord</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Provided that the exercise of such rights does not unreasonably interfere with Tenant's occupancy of the Premises, Landlord shall have the following rights: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Building Operations</w:t>
      </w:r>
      <w:r>
        <w:rPr>
          <w:rFonts w:ascii="Times New Roman;sans-serif" w:hAnsi="Times New Roman;sans-serif"/>
          <w:b w:val="false"/>
          <w:color w:val="000000"/>
          <w:sz w:val="24"/>
        </w:rPr>
        <w:t>. To decorate and to make inspections, repairs, alterations, additions, changes, or improvements, 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to change the name of the Building; and to change the arrangement and location of entrances or passageways, doors, and doorways, corridors, elevators, stairs, restrooms, or other public parts of the Building;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Security</w:t>
      </w:r>
      <w:r>
        <w:rPr>
          <w:rFonts w:ascii="Times New Roman;sans-serif" w:hAnsi="Times New Roman;sans-serif"/>
          <w:b w:val="false"/>
          <w:color w:val="000000"/>
          <w:sz w:val="24"/>
        </w:rPr>
        <w:t>. To take such reasonable measures as Landlord deems advisable for the security of the Building and its occupants; evacuating the Building for cause, suspected cause, or for drill purposes; temporarily denying access to the Building; and closing the Building after normal business hours and on Sundays and holidays, subject, however, to Tenant's right to enter when the Building is closed after normal business hours under such reasonable regulations as Landlord may prescribe from time to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Prospective Purchasers and Lenders</w:t>
      </w:r>
      <w:r>
        <w:rPr>
          <w:rFonts w:ascii="Times New Roman;sans-serif" w:hAnsi="Times New Roman;sans-serif"/>
          <w:b w:val="false"/>
          <w:color w:val="000000"/>
          <w:sz w:val="24"/>
        </w:rPr>
        <w:t>. To enter the Premises at all reasonable hours, upon reasonable prior notice, to show the Premises to prospective purchasers or lenders;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Prospective Tenants</w:t>
      </w:r>
      <w:r>
        <w:rPr>
          <w:rFonts w:ascii="Times New Roman;sans-serif" w:hAnsi="Times New Roman;sans-serif"/>
          <w:b w:val="false"/>
          <w:color w:val="000000"/>
          <w:sz w:val="24"/>
        </w:rPr>
        <w:t>. At any time during the last 12 months of the Term (or earlier if Tenant has notified Landlord in writing that it does not desire to renew the Term) or at any time following the occurrence of an Event of Default which remains uncured, to enter the Premises at all reasonable hours, upon reasonable prior notice, to show the Premises to prospective tenants.</w:t>
      </w:r>
    </w:p>
    <w:p>
      <w:pPr>
        <w:pStyle w:val="TextBody"/>
        <w:bidi w:val="0"/>
        <w:spacing w:lineRule="auto" w:line="288" w:before="0" w:after="240"/>
        <w:ind w:left="0" w:right="0" w:firstLine="720"/>
        <w:jc w:val="both"/>
        <w:rPr/>
      </w:pPr>
      <w:r>
        <w:rPr>
          <w:rFonts w:ascii="Times New Roman;sans-serif" w:hAnsi="Times New Roman;sans-serif"/>
          <w:b/>
          <w:color w:val="000000"/>
          <w:sz w:val="24"/>
        </w:rPr>
        <w:t>25.</w:t>
      </w:r>
      <w:r>
        <w:rPr>
          <w:rFonts w:ascii="Times New Roman;sans-serif" w:hAnsi="Times New Roman;sans-serif"/>
          <w:b/>
          <w:color w:val="000000"/>
          <w:sz w:val="24"/>
          <w:u w:val="single"/>
        </w:rPr>
        <w:t>Substitution Space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[Intentionally Omitted].</w:t>
      </w:r>
    </w:p>
    <w:p>
      <w:pPr>
        <w:pStyle w:val="TextBody"/>
        <w:bidi w:val="0"/>
        <w:spacing w:lineRule="auto" w:line="288" w:before="0" w:after="240"/>
        <w:ind w:left="0" w:right="0" w:firstLine="720"/>
        <w:jc w:val="both"/>
        <w:rPr/>
      </w:pPr>
      <w:r>
        <w:rPr>
          <w:rFonts w:ascii="Times New Roman;sans-serif" w:hAnsi="Times New Roman;sans-serif"/>
          <w:b/>
          <w:color w:val="000000"/>
          <w:sz w:val="24"/>
        </w:rPr>
        <w:t>26.</w:t>
      </w:r>
      <w:r>
        <w:rPr>
          <w:rFonts w:ascii="Times New Roman;sans-serif" w:hAnsi="Times New Roman;sans-serif"/>
          <w:b/>
          <w:color w:val="000000"/>
          <w:sz w:val="24"/>
          <w:u w:val="single"/>
        </w:rPr>
        <w:t>Miscellaneous</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Landlord Transfer</w:t>
      </w:r>
      <w:r>
        <w:rPr>
          <w:rFonts w:ascii="Times New Roman;sans-serif" w:hAnsi="Times New Roman;sans-serif"/>
          <w:b w:val="false"/>
          <w:color w:val="000000"/>
          <w:sz w:val="24"/>
        </w:rPr>
        <w:t xml:space="preserve">. Landlord may transfer any portion of the Project and any of its rights under this Lease. If Landlord assigns its rights under this Lease, then 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88925"/>
                <wp:effectExtent l="0" t="0" r="0" b="0"/>
                <wp:wrapNone/>
                <wp:docPr id="79" name="Frame7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thereby be released from any further obligations hereunder arising after the date of transfer, provided that the assignee assumes in writing Landlord's obligations hereunder arising from and after the transfer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Landlord's Liability</w:t>
      </w:r>
      <w:r>
        <w:rPr>
          <w:rFonts w:ascii="Times New Roman;sans-serif" w:hAnsi="Times New Roman;sans-serif"/>
          <w:b w:val="false"/>
          <w:color w:val="000000"/>
          <w:sz w:val="24"/>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shall be limited to Tenant's actual direct, but not consequential, damages therefor and shall be recoverable only from the interest of Landlord in the Building, and Landlord (and its partners, shareholders or members) shall not be personally liable for any deficiency. The provisions of this Section shall survive any expiration or termination of this Lease.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or any other causes of any kind whatsoever which are beyond the control of such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Brokerage</w:t>
      </w:r>
      <w:r>
        <w:rPr>
          <w:rFonts w:ascii="Times New Roman;sans-serif" w:hAnsi="Times New Roman;sans-serif"/>
          <w:b w:val="false"/>
          <w:color w:val="000000"/>
          <w:sz w:val="24"/>
        </w:rPr>
        <w:t>. Neither Landlord nor Tenant has dealt with any broker or agent in connection with the negotiation or execution of this Lease, other than CBRE, Inc., whose commission shall be paid by Landlord pursuant to a separate written agreement. Tenant and Landlord shall each indemnify the other against all costs, expenses, attorneys' fees, liens and other liability for commissions or other compensation claimed by any broker or agent claiming the same by, through, or under the indemnifying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Estoppel Certificates</w:t>
      </w:r>
      <w:r>
        <w:rPr>
          <w:rFonts w:ascii="Times New Roman;sans-serif" w:hAnsi="Times New Roman;sans-serif"/>
          <w:b w:val="false"/>
          <w:color w:val="000000"/>
          <w:sz w:val="24"/>
        </w:rPr>
        <w:t xml:space="preserve">. From time to time, Tenant shall furnish to any party designated by Landlord, within ten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Project, the initial form of estoppel certificate to be signed by Tenant is attached hereto as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4"/>
        </w:rPr>
        <w:t>. If Tenant does not deliver to Landlord the certificate signed by Tenant within such required time period, Landlord, Landlord's Mortgagee and any prospective purchaser or mortgagee, may conclusively presume and rely upon the following facts: (1) this Lease is in full force and effect; (2) the terms and provisions of this Lease have not been changed except as otherwise represented by Landlord; (3) not more than one monthly installment of Basic Rent and other charges have been paid in advance; (4) there are no claims against Landlord nor any defenses or rights of offset against collection of Rent or other charges; and (5) Landlord is not in default under this Lease. In such event, Tenant shall be estopped from denying the truth of the presumed facts.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and other communications given pursuant to this Lease shall be in writing and shall be (1) mailed by first class, United States Mail, postage prepaid, certified, with return receipt requested, and addressed to the parties hereto at the address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88925"/>
                <wp:effectExtent l="0" t="0" r="0" b="0"/>
                <wp:wrapNone/>
                <wp:docPr id="80" name="Frame8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specified in the Basic Lease Information, (2) hand delivered to the intended addressee, (3) sent by a nationally recognized overnight courier service, or (4) sent by facsimile transmission during normal business hours followed by a confirmatory letter sent in another manner permitted hereunder. All notices shall be effective upon delivery to the address of the addressee (even if such addressee refuses delivery thereof). The parties hereto may change their addresses by giving notice thereof to the other in conformity with this provision.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Separability</w:t>
      </w:r>
      <w:r>
        <w:rPr>
          <w:rFonts w:ascii="Times New Roman;sans-serif" w:hAnsi="Times New Roman;sans-serif"/>
          <w:b w:val="false"/>
          <w:color w:val="000000"/>
          <w:sz w:val="24"/>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Amendments; Binding Effect; No Electronic Records</w:t>
      </w:r>
      <w:r>
        <w:rPr>
          <w:rFonts w:ascii="Times New Roman;sans-serif" w:hAnsi="Times New Roman;sans-serif"/>
          <w:b w:val="false"/>
          <w:color w:val="000000"/>
          <w:sz w:val="24"/>
        </w:rPr>
        <w:t>. This Lease may not be amended except by instrument in 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Landlord and Tenant hereby agree not to conduct the transactions or communications contemplated by this Lease by electronic means, except by facsimile transmission as specifically set forth in Section </w:t>
      </w:r>
      <w:r>
        <w:rPr>
          <w:rFonts w:ascii="Times New Roman;sans-serif" w:hAnsi="Times New Roman;sans-serif"/>
          <w:b w:val="false"/>
          <w:color w:val="000000"/>
          <w:sz w:val="22"/>
        </w:rPr>
        <w:t>26(f)</w:t>
      </w:r>
      <w:r>
        <w:rPr>
          <w:rFonts w:ascii="Times New Roman;sans-serif" w:hAnsi="Times New Roman;sans-serif"/>
          <w:b w:val="false"/>
          <w:color w:val="000000"/>
          <w:sz w:val="24"/>
        </w:rPr>
        <w:t>; nor shall the use of the phrase "in writing" or the word "written" be construed to include electronic communications except by facsimile transmissions as specifically set forth in Section </w:t>
      </w:r>
      <w:r>
        <w:rPr>
          <w:rFonts w:ascii="Times New Roman;sans-serif" w:hAnsi="Times New Roman;sans-serif"/>
          <w:b w:val="false"/>
          <w:color w:val="000000"/>
          <w:sz w:val="22"/>
        </w:rPr>
        <w:t>26(f)</w:t>
      </w:r>
      <w:r>
        <w:rPr>
          <w:rFonts w:ascii="Times New Roman;sans-serif" w:hAnsi="Times New Roman;sans-serif"/>
          <w:b w:val="false"/>
          <w:color w:val="000000"/>
          <w:sz w:val="24"/>
        </w:rPr>
        <w:t>.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Quiet Enjoyment</w:t>
      </w:r>
      <w:r>
        <w:rPr>
          <w:rFonts w:ascii="Times New Roman;sans-serif" w:hAnsi="Times New Roman;sans-serif"/>
          <w:b w:val="false"/>
          <w:color w:val="000000"/>
          <w:sz w:val="24"/>
        </w:rPr>
        <w:t>. Provided Tenant has performed all of its obligations hereunder, Tenant shall peaceably and quietly hold and enjoy the Premises for the Term, without hindrance from Landlord or any party claiming by, through, or under Landlord, but not otherwise, subject to the terms and conditions of this Lease.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88925"/>
                <wp:effectExtent l="0" t="0" r="0" b="0"/>
                <wp:wrapNone/>
                <wp:docPr id="81" name="Frame8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TO THE MAXIMUM EXTENT PERMITTED BY LAW, LANDLORD AND 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Lease shall be governed by and construed in accordance with the laws of the state in which the Premises are located.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Recording</w:t>
      </w:r>
      <w:r>
        <w:rPr>
          <w:rFonts w:ascii="Times New Roman;sans-serif" w:hAnsi="Times New Roman;sans-serif"/>
          <w:b w:val="false"/>
          <w:color w:val="000000"/>
          <w:sz w:val="24"/>
        </w:rPr>
        <w:t>. Tenant shall not record this Lease or any memorandum of this Lease without the prior written 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Water or Mold Notification</w:t>
      </w:r>
      <w:r>
        <w:rPr>
          <w:rFonts w:ascii="Times New Roman;sans-serif" w:hAnsi="Times New Roman;sans-serif"/>
          <w:b w:val="false"/>
          <w:color w:val="000000"/>
          <w:sz w:val="24"/>
        </w:rPr>
        <w:t>. To the extent Tenant or its agents or employees discover any water leakage, water damage or mold in or about the Premises or Project, Tenant shall promptly notify Landlord thereof in writing.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u w:val="single"/>
        </w:rPr>
        <w:t>Joint and Several Liability</w:t>
      </w:r>
      <w:r>
        <w:rPr>
          <w:rFonts w:ascii="Times New Roman;sans-serif" w:hAnsi="Times New Roman;sans-serif"/>
          <w:b w:val="false"/>
          <w:color w:val="000000"/>
          <w:sz w:val="24"/>
        </w:rPr>
        <w:t>. If Tenant is comprised of more than one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u w:val="single"/>
        </w:rPr>
        <w:t>Financial Reports</w:t>
      </w:r>
      <w:r>
        <w:rPr>
          <w:rFonts w:ascii="Times New Roman;sans-serif" w:hAnsi="Times New Roman;sans-serif"/>
          <w:b w:val="false"/>
          <w:color w:val="000000"/>
          <w:sz w:val="24"/>
        </w:rPr>
        <w:t>. If and for so long as Tenant is a publicly traded company and its current financial statements and related information are thus available for view at any time on publicly accessible websites, Tenant shall not be required to supply any financial statements to Landlord. If, however, at any time during the Term, Tenant’s (or Tenant’s parent’s) stock is no longer traded on the public markets, or such information is not so accessible on a public basis, then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Landlord will not disclose any aspect of Tenant's financial statements that Tenant designates to Landlord as confidential except (1) to Landlord's Mortgagee or prospective mortgagees or purchasers of the Building, (2) in litigation between Landlord and Tenant, and/or (3) if required by court order. Tenant shall not be required to deliver the financial statements required under this Section 26(p) more than once in any 12-month period unless requested by Landlord's Mortgagee or a prospective buyer or lender of the Building or an Event of Default occurs.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u w:val="single"/>
        </w:rPr>
        <w:t>Landlord's Fees</w:t>
      </w:r>
      <w:r>
        <w:rPr>
          <w:rFonts w:ascii="Times New Roman;sans-serif" w:hAnsi="Times New Roman;sans-serif"/>
          <w:b w:val="false"/>
          <w:color w:val="000000"/>
          <w:sz w:val="24"/>
        </w:rPr>
        <w:t xml:space="preserve">. Whenever Tenant requests Landlord to take any action not required of it hereunder or give any consent required or permitted under this Lease, Tenant will reimburse Landlord for Landlord's reasonable, out-of-pocket costs payable to third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88925"/>
                <wp:effectExtent l="0" t="0" r="0" b="0"/>
                <wp:wrapNone/>
                <wp:docPr id="82" name="Frame8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incurred by Landlord in reviewing the proposed action or consent, including reasonable attorneys', engineers' or architects' fees, within 30 days after Landlord's delivery to Tenant of a statement of such costs. Tenant will be obligated to make such reimbursement without regard to whether Landlord consents to any such proposed 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u w:val="single"/>
        </w:rPr>
        <w:t>Telecommunications</w:t>
      </w:r>
      <w:r>
        <w:rPr>
          <w:rFonts w:ascii="Times New Roman;sans-serif" w:hAnsi="Times New Roman;sans-serif"/>
          <w:b w:val="false"/>
          <w:color w:val="000000"/>
          <w:sz w:val="24"/>
        </w:rPr>
        <w:t>. 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Times New Roman;sans-serif" w:hAnsi="Times New Roman;sans-serif"/>
          <w:b/>
          <w:color w:val="000000"/>
          <w:sz w:val="24"/>
          <w:u w:val="single"/>
        </w:rPr>
        <w:t>Telecommunications Services</w:t>
      </w:r>
      <w:r>
        <w:rPr>
          <w:rFonts w:ascii="Times New Roman;sans-serif" w:hAnsi="Times New Roman;sans-serif"/>
          <w:b w:val="false"/>
          <w:color w:val="000000"/>
          <w:sz w:val="24"/>
        </w:rPr>
        <w:t>"), for part or all of Tenant's telecommunications within the Building and from the Building to any other location without Landlord's prior written consent, not to be unreasonably withheld.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Tenant acknowledges that the terms and conditions of this Lease are to remain confidential for Landlord's benefit, and may not be disclosed by Tenant to anyone, by any manner or means, directly or indirectly, without Landlord's prior written consent; however, Tenant may disclose the terms and conditions of this Lease if required by Law or court order, to its attorneys, accountants, employees and existing or prospective financial partners provided same are advised by Tenant of the confidential nature of such terms and conditions and agree to maintain the confidentiality thereof (in each case, prior to disclosure). Tenant shall be liable for any disclosures made in violation of this Section by Tenant or by any entity or individual to whom the terms of and conditions of this Lease were disclosed or made available by Tenant. The consent by Landlord to any disclosures shall not be deemed to be a waiver on the part of Landlord of any prohibition against any future disclosure.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u w:val="single"/>
        </w:rPr>
        <w:t>Authority</w:t>
      </w:r>
      <w:r>
        <w:rPr>
          <w:rFonts w:ascii="Times New Roman;sans-serif" w:hAnsi="Times New Roman;sans-serif"/>
          <w:b w:val="false"/>
          <w:color w:val="000000"/>
          <w:sz w:val="24"/>
        </w:rPr>
        <w:t>. Tenant (if a corporation, partnership or other business entity) hereby represents and warrants to Landlord that Tenant is a duly formed and existing entity qualified to do business in the state in which the Premises are located, that Tenant has full right and authority to execute and deliver this Lease, and that each person signing on behalf of Tenant is authorized to do so, and that Tenant’s organizational identification number assigned by the Georgia Secretary of State is listed on the signature page of this Lease.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88925"/>
                <wp:effectExtent l="0" t="0" r="0" b="0"/>
                <wp:wrapNone/>
                <wp:docPr id="83" name="Frame8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(u)</w:t>
      </w:r>
      <w:r>
        <w:rPr>
          <w:rFonts w:ascii="Times New Roman;sans-serif" w:hAnsi="Times New Roman;sans-serif"/>
          <w:b w:val="false"/>
          <w:color w:val="000000"/>
          <w:sz w:val="24"/>
          <w:u w:val="single"/>
        </w:rPr>
        <w:t>Security Service</w:t>
      </w:r>
      <w:r>
        <w:rPr>
          <w:rFonts w:ascii="Times New Roman;sans-serif" w:hAnsi="Times New Roman;sans-serif"/>
          <w:b w:val="false"/>
          <w:color w:val="000000"/>
          <w:sz w:val="24"/>
        </w:rPr>
        <w:t>. Tenant acknowledges and agrees that, while Landlord may (but shall not be obligated to) patrol the Building or Project, Landlord is not providing any security services with respect to the Premises or Tenant's Off-Premises Equipment and that Landlord shall not be liable to Tenant for, and Tenant waives any claim against Landlord with respect to, any loss by theft or any other damage suffered or incurred by Tenant in connection with any unauthorized entry into the Premises or any area where Tenant's Off-Premises Equipment is located or any other breach of security with respect to the Premises or Tenant's Off-Premises Equipment.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List of Exhibits</w:t>
      </w:r>
      <w:r>
        <w:rPr>
          <w:rFonts w:ascii="Times New Roman;sans-serif" w:hAnsi="Times New Roman;sans-serif"/>
          <w:b w:val="false"/>
          <w:color w:val="000000"/>
          <w:sz w:val="24"/>
        </w:rPr>
        <w:t>. All exhibits and attachments attached hereto are incorporated herein by this reference.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 - Outline of Premises</w:t>
        <w:br/>
        <w:t>Exhibit B - Description of the Land</w:t>
        <w:br/>
        <w:t>Exhibit C - Building Rules and Regulations</w:t>
      </w:r>
    </w:p>
    <w:p>
      <w:pPr>
        <w:pStyle w:val="TextBody"/>
        <w:bidi w:val="0"/>
        <w:spacing w:lineRule="auto" w:line="288" w:before="0" w:after="0"/>
        <w:jc w:val="left"/>
        <w:rPr/>
      </w:pPr>
      <w:r>
        <w:rPr>
          <w:rFonts w:ascii="Times New Roman;sans-serif" w:hAnsi="Times New Roman;sans-serif"/>
          <w:b w:val="false"/>
          <w:color w:val="000000"/>
          <w:sz w:val="24"/>
        </w:rPr>
        <w:t>Exhibit C-1 – Traffic Rules and Regulations</w:t>
        <w:br/>
        <w:t>Exhibit D-1 – Landlord’s Work: Work of Limited Scope (Landlord Performs the Work) (Demising Wall)</w:t>
        <w:br/>
        <w:t>Exhibit D-2 - Tenant Finish-Work: Allowance (Tenant Performs the Work)</w:t>
        <w:br/>
        <w:t>Exhibit E - Form of Confirmation of Commencement Date Letter</w:t>
        <w:br/>
        <w:t>Exhibit F - Form of Tenant Estoppel Certificate</w:t>
        <w:br/>
        <w:t>Exhibit G- Renewal Options</w:t>
      </w:r>
      <w:r>
        <w:rPr>
          <w:color w:val="000000"/>
          <w:shd w:fill="FFFF00" w:val="clear"/>
        </w:rPr>
        <w:t xml:space="preserve"> </w:t>
      </w:r>
      <w:r>
        <w:rPr>
          <w:rFonts w:ascii="Times New Roman;sans-serif" w:hAnsi="Times New Roman;sans-serif"/>
          <w:b w:val="false"/>
          <w:color w:val="000000"/>
          <w:sz w:val="24"/>
          <w:shd w:fill="FFFF00" w:val="clear"/>
        </w:rPr>
        <w:br/>
      </w:r>
      <w:r>
        <w:rPr>
          <w:rFonts w:ascii="Times New Roman;sans-serif" w:hAnsi="Times New Roman;sans-serif"/>
          <w:b w:val="false"/>
          <w:color w:val="000000"/>
          <w:sz w:val="24"/>
        </w:rPr>
        <w:t>Exhibit H – Rent Abatement Provisions</w:t>
        <w:br/>
        <w:t>Exhibit I – Form of SNDA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(w)</w:t>
      </w:r>
      <w:r>
        <w:rPr>
          <w:rFonts w:ascii="Times New Roman;sans-serif" w:hAnsi="Times New Roman;sans-serif"/>
          <w:b w:val="false"/>
          <w:color w:val="000000"/>
          <w:sz w:val="24"/>
          <w:u w:val="single"/>
        </w:rPr>
        <w:t>Prohibited Persons and Transactions</w:t>
      </w:r>
      <w:r>
        <w:rPr>
          <w:rFonts w:ascii="Times New Roman;sans-serif" w:hAnsi="Times New Roman;sans-serif"/>
          <w:b w:val="false"/>
          <w:color w:val="000000"/>
          <w:sz w:val="24"/>
        </w:rPr>
        <w:t>. Tenant represents and warrants to Landlord that Tenant is currently in compliance with and shall at all times during the Term (including any extension thereof) remain in compliance with the regulations of the OFAC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Lease may be executed in any number of counterparts, each of which shall be deemed to be an original, and all of such counterparts shall constitute one Lease. To facilitate execution of this Lease, the parties may execute and exchange signature pages by facsimile or via electronic mail (*.pdf or similar file types). The parties further agree that counterparts of this Lease may be signed electronically via Adobe Sign, DocuSign protocol or other electronic platform. All such signatures may be used in the place of original "wet ink" signatures to this Lease and shall have the same legal effect as the physical delivery of an original signature. The submission of this Lease to Tenant shall not be construed as an offer, and Tenant shall not have any rights under this Lease unless Landlord executes a copy of this Lease and delivers it to Tenant.</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88925"/>
                <wp:effectExtent l="0" t="0" r="0" b="0"/>
                <wp:wrapNone/>
                <wp:docPr id="84" name="Frame8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27.</w:t>
      </w:r>
      <w:r>
        <w:rPr>
          <w:rFonts w:ascii="Times New Roman;sans-serif" w:hAnsi="Times New Roman;sans-serif"/>
          <w:b/>
          <w:color w:val="000000"/>
          <w:sz w:val="24"/>
          <w:u w:val="single"/>
        </w:rPr>
        <w:t>Environmental Requirements</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Prohibition against Hazardous Materials</w:t>
      </w:r>
      <w:r>
        <w:rPr>
          <w:rFonts w:ascii="Times New Roman;sans-serif" w:hAnsi="Times New Roman;sans-serif"/>
          <w:b w:val="false"/>
          <w:color w:val="000000"/>
          <w:sz w:val="24"/>
        </w:rPr>
        <w:t>. Except for Hazardous Materials contained in products used by Tenant in de minimis quantities for ordinary cleaning and office purposes, Tenant shall not permit or cause any party to bring any Hazardous Materials upon the Premises or in the Project or transport, store, use, generate, manufacture, dispose, or release any Hazardous Materials on or from the Premises or the Project without Landlord's prior written consent. Tenant, at its sole cost and expense, shall operate its business in the Premises in strict compliance with all Environmental Requirements and all requirements of this Lease. Tenant shall complete and certify to disclosure statements as requested by Landlord from time to time relating to Tenant's transportation, storage, use, generation, manufacture, or release of Hazardous Materials on the Premises or in the Project, and Tenant shall promptly deliver to Landlord a copy of any notice of violation relating to the Premises or the Project of any Environmental Requirement.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Environmental Requirements</w:t>
      </w:r>
      <w:r>
        <w:rPr>
          <w:rFonts w:ascii="Times New Roman;sans-serif" w:hAnsi="Times New Roman;sans-serif"/>
          <w:b w:val="false"/>
          <w:color w:val="000000"/>
          <w:sz w:val="24"/>
        </w:rPr>
        <w:t>. The term "</w:t>
      </w:r>
      <w:r>
        <w:rPr>
          <w:rFonts w:ascii="Times New Roman;sans-serif" w:hAnsi="Times New Roman;sans-serif"/>
          <w:b/>
          <w:color w:val="000000"/>
          <w:sz w:val="24"/>
          <w:u w:val="single"/>
        </w:rPr>
        <w:t>Environmental Requirements</w:t>
      </w:r>
      <w:r>
        <w:rPr>
          <w:rFonts w:ascii="Times New Roman;sans-serif" w:hAnsi="Times New Roman;sans-serif"/>
          <w:b w:val="false"/>
          <w:color w:val="000000"/>
          <w:sz w:val="24"/>
        </w:rPr>
        <w:t>" means all Laws regulating or relating to health, safety, or environmental conditions on, under, or about the Premises or the Project or the environment including the following: the Comprehensive Environmental Response, Compensation and Liability Act; the Resource Conservation and Recovery Act; the Clean Air Act; the Clean Water Act; the Toxic Substances Control Act and all state and local counterparts thereto, and any common or civil law obligations including nuisance or trespass, and any other requirements of Section </w:t>
      </w:r>
      <w:r>
        <w:rPr>
          <w:rFonts w:ascii="Times New Roman;sans-serif" w:hAnsi="Times New Roman;sans-serif"/>
          <w:b w:val="false"/>
          <w:color w:val="000000"/>
          <w:sz w:val="22"/>
        </w:rPr>
        <w:t>14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4"/>
        </w:rPr>
        <w:t>of this Lease. The term "</w:t>
      </w:r>
      <w:r>
        <w:rPr>
          <w:rFonts w:ascii="Times New Roman;sans-serif" w:hAnsi="Times New Roman;sans-serif"/>
          <w:b/>
          <w:color w:val="000000"/>
          <w:sz w:val="24"/>
          <w:u w:val="single"/>
        </w:rPr>
        <w:t>Hazardous Materials</w:t>
      </w:r>
      <w:r>
        <w:rPr>
          <w:rFonts w:ascii="Times New Roman;sans-serif" w:hAnsi="Times New Roman;sans-serif"/>
          <w:b w:val="false"/>
          <w:color w:val="000000"/>
          <w:sz w:val="24"/>
        </w:rPr>
        <w:t>" means and includes any substance, material, waste, pollutant, or contaminant that is or could be regulated under any Environmental Requirement or that may adversely affect human health or the environment, including any solid or hazardous waste, hazardous substance, asbestos, petroleum (including crude oil or any fraction thereof, natural gas, synthetic gas, polychlorinated biphenyls (PCBs), and radioactive material). For purposes of Environmental Requirements, to the extent authorized by law, Tenant is and shall be deemed to be the responsible party, including the "owner" and "operator" of Tenant's "facility" and the "owner" of all Hazardous Materials brought on the Premises or the Project by a Tenant Party and the wastes, by-products, or residues generated, resulting, or produced therefrom.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Removal of Hazardous Materials</w:t>
      </w:r>
      <w:r>
        <w:rPr>
          <w:rFonts w:ascii="Times New Roman;sans-serif" w:hAnsi="Times New Roman;sans-serif"/>
          <w:b w:val="false"/>
          <w:color w:val="000000"/>
          <w:sz w:val="24"/>
        </w:rPr>
        <w:t xml:space="preserve">. Tenant, at its sole cost and expense, shall remove all Hazardous Materials stored, disposed of or otherwise released by a Tenant Party onto or from the Premises or the Project, in a manner and to a level satisfactory to Landlord in its sole discretion, but in no event to a level and in a manner less than that which complies with all Environmental Requirements and does not limit any future uses of the Premises or the Project or require the recording of any deed restriction or notice regarding the Premises or the Project. Tenant shall perform such work at any time during the period of this Lease upon written request by Landlord or, in the absence of a specific request by Landlord, before Tenant's right to possession of the Premises terminates or expires. If Tenant fails to perform such work within the time period specified by Landlord or before Tenant's right to possession terminates or expires (whichever is earlier), Landlord may at its discretion, and without waiving any other remedy available under this Lease or at law or equity (including an action to compel Tenant to perform such work), perform such work at Tenant's cost. Tenant shall pay all costs incurred by 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88925"/>
                <wp:effectExtent l="0" t="0" r="0" b="0"/>
                <wp:wrapNone/>
                <wp:docPr id="85" name="Frame8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performing such work within thirty (30) days after Landlord's request therefor. Such work performed by Landlord is on behalf of Tenant and Tenant remains the owner, generator, operator, transporter, and/or arranger of the Hazardous Materials for purposes of Environmental Requirements. Tenant agrees not to enter into any agreement with any person, including any governmental authority, regarding the removal of Hazardous Materials that have been disposed of or otherwise released onto or from the Premises or the Project without the written approval of the Landlord.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Tenant's Indemnity</w:t>
      </w:r>
      <w:r>
        <w:rPr>
          <w:rFonts w:ascii="Times New Roman;sans-serif" w:hAnsi="Times New Roman;sans-serif"/>
          <w:b w:val="false"/>
          <w:color w:val="000000"/>
          <w:sz w:val="24"/>
        </w:rPr>
        <w:t>. Tenant shall indemnify, defend, and hold Landlord harmless from and against any and all losses (including diminution in value of the Premises or the Project and loss of rental income from the Project), liabilities (INCLUDING ANY STRICT LIABILITY), claims, demands, actions, suits, damages (including punitive damages), expenses (including remediation, removal, repair, corrective action, or cleanup expenses), and costs (including actual attorneys' fees, consultant fees or expert fees and including removal or management of any asbestos brought into the Premises or the Project or disturbed in breach of the requirements of this Section </w:t>
      </w:r>
      <w:r>
        <w:rPr>
          <w:rFonts w:ascii="Times New Roman;sans-serif" w:hAnsi="Times New Roman;sans-serif"/>
          <w:b w:val="false"/>
          <w:color w:val="000000"/>
          <w:sz w:val="22"/>
        </w:rPr>
        <w:t>27</w:t>
      </w:r>
      <w:r>
        <w:rPr>
          <w:rFonts w:ascii="Times New Roman;sans-serif" w:hAnsi="Times New Roman;sans-serif"/>
          <w:b w:val="false"/>
          <w:color w:val="000000"/>
          <w:sz w:val="24"/>
        </w:rPr>
        <w:t>, regardless of whether such removal or management is required by Law) which are brought or recoverable against, or suffered or incurred by Landlord as a result of any release of Hazardous Materials or any breach of the requirements under this Section </w:t>
      </w:r>
      <w:r>
        <w:rPr>
          <w:rFonts w:ascii="Times New Roman;sans-serif" w:hAnsi="Times New Roman;sans-serif"/>
          <w:b w:val="false"/>
          <w:color w:val="000000"/>
          <w:sz w:val="22"/>
        </w:rPr>
        <w:t>27</w:t>
      </w:r>
      <w:r>
        <w:rPr>
          <w:color w:val="000000"/>
        </w:rPr>
        <w:t xml:space="preserve"> </w:t>
      </w:r>
      <w:r>
        <w:rPr>
          <w:rFonts w:ascii="Times New Roman;sans-serif" w:hAnsi="Times New Roman;sans-serif"/>
          <w:b w:val="false"/>
          <w:color w:val="000000"/>
          <w:sz w:val="24"/>
        </w:rPr>
        <w:t>by a Tenant Party regardless of whether Tenant had knowledge of such noncompliance. The obligations of Tenant under this Section </w:t>
      </w:r>
      <w:r>
        <w:rPr>
          <w:rFonts w:ascii="Times New Roman;sans-serif" w:hAnsi="Times New Roman;sans-serif"/>
          <w:b w:val="false"/>
          <w:color w:val="000000"/>
          <w:sz w:val="22"/>
        </w:rPr>
        <w:t>27</w:t>
      </w:r>
      <w:r>
        <w:rPr>
          <w:color w:val="000000"/>
        </w:rPr>
        <w:t xml:space="preserve"> </w:t>
      </w:r>
      <w:r>
        <w:rPr>
          <w:rFonts w:ascii="Times New Roman;sans-serif" w:hAnsi="Times New Roman;sans-serif"/>
          <w:b w:val="false"/>
          <w:color w:val="000000"/>
          <w:sz w:val="24"/>
        </w:rPr>
        <w:t>shall survive any expiration or termination of this Lease.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Inspections and Tests</w:t>
      </w:r>
      <w:r>
        <w:rPr>
          <w:rFonts w:ascii="Times New Roman;sans-serif" w:hAnsi="Times New Roman;sans-serif"/>
          <w:b w:val="false"/>
          <w:color w:val="000000"/>
          <w:sz w:val="24"/>
        </w:rPr>
        <w:t>. Landlord shall have access to, and a right to perform inspections and tests of, the Premises to determine Tenant's compliance with Environmental Requirements, its obligations under this Section </w:t>
      </w:r>
      <w:r>
        <w:rPr>
          <w:rFonts w:ascii="Times New Roman;sans-serif" w:hAnsi="Times New Roman;sans-serif"/>
          <w:b w:val="false"/>
          <w:color w:val="000000"/>
          <w:sz w:val="22"/>
        </w:rPr>
        <w:t>27</w:t>
      </w:r>
      <w:r>
        <w:rPr>
          <w:rFonts w:ascii="Times New Roman;sans-serif" w:hAnsi="Times New Roman;sans-serif"/>
          <w:b w:val="false"/>
          <w:color w:val="000000"/>
          <w:sz w:val="24"/>
        </w:rPr>
        <w:t>, or the environmental condition of the Premises.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Landlord's receipt of or satisfaction with any environmental assessment in no way waives any rights that Landlord holds against Tenant. Tenant shall promptly notify Landlord of any communication or report that Tenant makes to any governmental authority regarding any possible violation of Environmental Requirements or release or threat of release of any Hazardous Materials onto or from the Premises or the Project. Tenant shall, within five days of receipt thereof, provide Landlord with a copy of any documents or correspondence received from any governmental agency or other party relating to a possible violation of Environmental Requirements or claim or liability associated with the release or threat of release of any Hazardous Materials onto or from the Premises or the Project. Tenant shall not undertake, nor shall Tenant permit any Tenant Party to undertake, any invasive investigation, drilling or sampling of the soil or groundwater at the Premises or the Project without the prior written consent of Landlord, which consent shall in Landlord’s sole discretion.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Landlord’s Representation and Warranty</w:t>
      </w:r>
      <w:r>
        <w:rPr>
          <w:rFonts w:ascii="Times New Roman;sans-serif" w:hAnsi="Times New Roman;sans-serif"/>
          <w:b w:val="false"/>
          <w:color w:val="000000"/>
          <w:sz w:val="24"/>
        </w:rPr>
        <w:t xml:space="preserve">. Except as otherwise disclosed in that certain Phase I Environmental Site Assessment (ESA), prepared by Terracon Consultants,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88925"/>
                <wp:effectExtent l="0" t="0" r="0" b="0"/>
                <wp:wrapNone/>
                <wp:docPr id="86" name="Frame8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Inc., dated August 12, 2021 (Terracon Project No.: 49217504) (which Tenant acknowledges receiving and reviewing), Landlord represents and warrants to Tenant that, to Landlord's knowledge as of the date of this Lease, Landlord has not received written notice of any Hazardous Materials in the Premises at concentrations exceeding those allowed by applicable environmental Laws. As used herein, the phrase "</w:t>
      </w:r>
      <w:r>
        <w:rPr>
          <w:rFonts w:ascii="Times New Roman;sans-serif" w:hAnsi="Times New Roman;sans-serif"/>
          <w:b/>
          <w:color w:val="000000"/>
          <w:sz w:val="24"/>
          <w:u w:val="single"/>
        </w:rPr>
        <w:t>to Landlord's knowledge</w:t>
      </w:r>
      <w:r>
        <w:rPr>
          <w:rFonts w:ascii="Times New Roman;sans-serif" w:hAnsi="Times New Roman;sans-serif"/>
          <w:b w:val="false"/>
          <w:color w:val="000000"/>
          <w:sz w:val="24"/>
        </w:rPr>
        <w:t>" means the actual present and conscious awareness or knowledge of Joseph K. McGorrey ("</w:t>
      </w:r>
      <w:r>
        <w:rPr>
          <w:rFonts w:ascii="Times New Roman;sans-serif" w:hAnsi="Times New Roman;sans-serif"/>
          <w:b/>
          <w:color w:val="000000"/>
          <w:sz w:val="24"/>
          <w:u w:val="single"/>
        </w:rPr>
        <w:t>Landlord's Representative</w:t>
      </w:r>
      <w:r>
        <w:rPr>
          <w:rFonts w:ascii="Times New Roman;sans-serif" w:hAnsi="Times New Roman;sans-serif"/>
          <w:b w:val="false"/>
          <w:color w:val="000000"/>
          <w:sz w:val="24"/>
        </w:rPr>
        <w:t xml:space="preserve">"), without any duty of inquiry or investigation; provided that so qualifying Landlord's knowledge shall in no event give rise to any personal liability on the part of Landlord's Representative or any other officer or employee of Landlord, on account of any breach of any representation or warranty made by Landlord herein. Said terms do not include constructive knowledge, imputed knowledge, or knowledge Landlord or such persons do not have but could have obtained through further investigation or inquiry </w:t>
      </w:r>
    </w:p>
    <w:p>
      <w:pPr>
        <w:pStyle w:val="TextBody"/>
        <w:bidi w:val="0"/>
        <w:spacing w:lineRule="auto" w:line="288" w:before="0" w:after="240"/>
        <w:ind w:left="0" w:right="0" w:firstLine="720"/>
        <w:jc w:val="both"/>
        <w:rPr/>
      </w:pPr>
      <w:r>
        <w:rPr>
          <w:rFonts w:ascii="Times New Roman;sans-serif" w:hAnsi="Times New Roman;sans-serif"/>
          <w:b/>
          <w:color w:val="000000"/>
          <w:sz w:val="24"/>
        </w:rPr>
        <w:t>28.</w:t>
      </w:r>
      <w:r>
        <w:rPr>
          <w:rFonts w:ascii="Times New Roman;sans-serif" w:hAnsi="Times New Roman;sans-serif"/>
          <w:b/>
          <w:color w:val="000000"/>
          <w:sz w:val="24"/>
          <w:u w:val="single"/>
        </w:rPr>
        <w:t>Parking</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have the non-exclusive right, in common with other tenants of the Project to use such parking spaces associated with the Building as are allocated to Tenant by Landlord. Tenant shall be assigned 110 vehicular parking spaces and 38 trailer parking spaces. Landlord shall use its reasonable discretion in allocating parking spaces to the tenants of the Project, taking into consideration all factors Landlord deems relevant, including the density and type (e.g., office or industrial) of use conducted by the tenants of the Building in their respective premises. Landlord reserves the right to initiate steps to control the parking utilization through gates, access cards, hang-tags or other means as appropriate. Parking spaces will be available to Tenant without charge during the initial Term. Landlord shall not be responsible for enforcing Tenant's parking rights against third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88925"/>
                <wp:effectExtent l="0" t="0" r="0" b="0"/>
                <wp:wrapNone/>
                <wp:docPr id="87" name="Frame8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29.</w:t>
      </w:r>
      <w:r>
        <w:rPr>
          <w:rFonts w:ascii="Times New Roman;sans-serif" w:hAnsi="Times New Roman;sans-serif"/>
          <w:b/>
          <w:color w:val="000000"/>
          <w:sz w:val="24"/>
          <w:u w:val="single"/>
        </w:rPr>
        <w:t>Sustainability</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Tenant </w:t>
      </w:r>
      <w:r>
        <w:rPr>
          <w:rFonts w:ascii="Times New Roman;sans-serif" w:hAnsi="Times New Roman;sans-serif"/>
          <w:b w:val="false"/>
          <w:color w:val="333333"/>
          <w:sz w:val="24"/>
          <w:shd w:fill="FFFFFF" w:val="clear"/>
        </w:rPr>
        <w:t xml:space="preserve">acknowledges and agrees that Landlord may elect to implement energy efficient and environmentally sustainable practices at the Project and, in furtherance of same, may pursue efforts to promote natural resource efficiency, preservation or conservation; carbon reduction; slowing of global warming; reduction of heat islands; stormwater control; reduction of chemical use and emissions; indoor air quality; sorting or recycling, and proper disposal of, trash; lighting performance standards; wellness, health and safety; sustainable purchasing policies; transportation management; and improvements to the Project to address any of the foregoing (collectively, the </w:t>
      </w:r>
      <w:r>
        <w:rPr>
          <w:rFonts w:ascii="Times New Roman;sans-serif" w:hAnsi="Times New Roman;sans-serif"/>
          <w:b w:val="false"/>
          <w:color w:val="000000"/>
          <w:sz w:val="24"/>
        </w:rPr>
        <w:t>"</w:t>
      </w:r>
      <w:r>
        <w:rPr>
          <w:rFonts w:ascii="Times New Roman;sans-serif" w:hAnsi="Times New Roman;sans-serif"/>
          <w:b/>
          <w:color w:val="000000"/>
          <w:sz w:val="24"/>
          <w:u w:val="single"/>
        </w:rPr>
        <w:t>Green Initiatives</w:t>
      </w:r>
      <w:r>
        <w:rPr>
          <w:rFonts w:ascii="Times New Roman;sans-serif" w:hAnsi="Times New Roman;sans-serif"/>
          <w:b w:val="false"/>
          <w:color w:val="000000"/>
          <w:sz w:val="24"/>
        </w:rPr>
        <w:t>"</w:t>
      </w:r>
      <w:r>
        <w:rPr>
          <w:rFonts w:ascii="Times New Roman;sans-serif" w:hAnsi="Times New Roman;sans-serif"/>
          <w:b w:val="false"/>
          <w:color w:val="333333"/>
          <w:sz w:val="24"/>
          <w:shd w:fill="FFFFFF" w:val="clear"/>
        </w:rPr>
        <w:t xml:space="preserve">), and may further implement any of the following as in effect from time to time: (a) environmental sustainability monitoring and certification programs pursuant to the U.S. Environmental Protection Agency’s Energy Star ® rating system or Design to Earn Energy Star 71, the Green Building Initiative’s Green Globes™ for Continual Improvement of Existing Buildings standards, the U.S. Green Building Council’s Leadership in Energy and Environmental Design rating system, the Building Research Establishment Environmental Assessment Method rating system, the Institute of Real Estate Management Certified Sustainable Property standards, the Fitwel Viral Response Module standards, the WELL Health-Safety Rating for Facility Operations and Management rating system or any similar program or rating system; (b) requirements, standards or programs pertaining to Green Initiatives that are offered or required by Law or by any energy, water or sewer utility; and (c) practices, means, methods or activities undertaken by Landlord that relate to Green Initiatives (collectively, the </w:t>
      </w:r>
      <w:r>
        <w:rPr>
          <w:rFonts w:ascii="Times New Roman;sans-serif" w:hAnsi="Times New Roman;sans-serif"/>
          <w:b w:val="false"/>
          <w:color w:val="000000"/>
          <w:sz w:val="24"/>
        </w:rPr>
        <w:t>"</w:t>
      </w:r>
      <w:r>
        <w:rPr>
          <w:rFonts w:ascii="Times New Roman;sans-serif" w:hAnsi="Times New Roman;sans-serif"/>
          <w:b/>
          <w:color w:val="000000"/>
          <w:sz w:val="24"/>
          <w:u w:val="single"/>
        </w:rPr>
        <w:t>Sustainability Standards</w:t>
      </w:r>
      <w:r>
        <w:rPr>
          <w:rFonts w:ascii="Times New Roman;sans-serif" w:hAnsi="Times New Roman;sans-serif"/>
          <w:b w:val="false"/>
          <w:color w:val="000000"/>
          <w:sz w:val="24"/>
        </w:rPr>
        <w:t>"</w:t>
      </w:r>
      <w:r>
        <w:rPr>
          <w:rFonts w:ascii="Times New Roman;sans-serif" w:hAnsi="Times New Roman;sans-serif"/>
          <w:b w:val="false"/>
          <w:color w:val="333333"/>
          <w:sz w:val="24"/>
          <w:shd w:fill="FFFFFF" w:val="clear"/>
        </w:rPr>
        <w:t>). In furtherance thereof, Landlord may be required to provide information, including a copy of this Lease and historical and current data regarding energy use, water use, waste diversion, materials, procedures and systems operation within the Project, Building and Premises to a certification body or agency in order to demonstrate compliance with various program requirements. Tenant agrees that throughout the Term: (i) Landlord may furnish a copy of this Lease and other information provided from Tenant to Landlord as reasonably necessary to comply with certification requirements related to Green Initiatives; (ii) Tenant shall cooperate reasonably and in good faith to maintain and provide Landlord with historical and current data regarding energy use, materials, procedures and systems operation within the Premises as Landlord shall reasonably require in order to meet the Sustainability Standards; and (iii) Tenant shall cooperate with Landlord and comply with the Sustainability Standards including all monitoring and data collection, maintenance, access, documentation and reporting requirements set forth therein, provided the same shall be at no material cost to Tenant and shall not materially increase Tenant’s obligations hereunder, except that Landlord shall have the right to submeter all utilities, at Tenant’s cost, for monitoring and data collection if not provided by Tenant in timely manner (monthly/quarterly). All utility data will be anonymous and aggregated with other data for any reporting purposes. Additionally, the roof above the Premises is not part of the Premises and is exclusively reserved to Landlord, and Tenant shall not go on the roof nor install any antennae, satellite dish, solar panels or other improvements on the roof without Landlord's prior written consent.</w:t>
      </w:r>
    </w:p>
    <w:p>
      <w:pPr>
        <w:pStyle w:val="TextBody"/>
        <w:bidi w:val="0"/>
        <w:spacing w:lineRule="auto" w:line="288" w:before="0" w:after="240"/>
        <w:ind w:left="0" w:right="0" w:firstLine="720"/>
        <w:jc w:val="both"/>
        <w:rPr/>
      </w:pPr>
      <w:r>
        <w:rPr>
          <w:rFonts w:ascii="Times New Roman;sans-serif" w:hAnsi="Times New Roman;sans-serif"/>
          <w:b/>
          <w:color w:val="000000"/>
          <w:sz w:val="24"/>
        </w:rPr>
        <w:t>30.</w:t>
      </w:r>
      <w:r>
        <w:rPr>
          <w:rFonts w:ascii="Times New Roman;sans-serif" w:hAnsi="Times New Roman;sans-serif"/>
          <w:b/>
          <w:color w:val="000000"/>
          <w:sz w:val="24"/>
          <w:u w:val="single"/>
        </w:rPr>
        <w:t>Letter of Credit</w:t>
      </w:r>
      <w:r>
        <w:rPr>
          <w:rFonts w:ascii="Times New Roman;sans-serif" w:hAnsi="Times New Roman;sans-serif"/>
          <w:b w:val="false"/>
          <w:color w:val="000000"/>
          <w:sz w:val="24"/>
        </w:rPr>
        <w:t>.</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xml:space="preserve">. Concurrently with Tenant’s execution of this Lease, Tenant shall deliver to Landlord, as collateral for the full performance by Tenant of all of its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88925"/>
                <wp:effectExtent l="0" t="0" r="0" b="0"/>
                <wp:wrapNone/>
                <wp:docPr id="88" name="Frame8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obligations under this Lease and for all losses and damages Landlord may suffer as a result of any default by Tenant under this Lease, a standby, unconditional, irrevocable, transferable, original letter of credit (the “</w:t>
      </w:r>
      <w:r>
        <w:rPr>
          <w:rFonts w:ascii="Times New Roman;sans-serif" w:hAnsi="Times New Roman;sans-serif"/>
          <w:b/>
          <w:color w:val="000000"/>
          <w:sz w:val="24"/>
          <w:u w:val="single"/>
        </w:rPr>
        <w:t>Letter of Credit</w:t>
      </w:r>
      <w:r>
        <w:rPr>
          <w:color w:val="000000"/>
        </w:rPr>
        <w:t>”</w:t>
      </w:r>
      <w:r>
        <w:rPr>
          <w:rFonts w:ascii="Times New Roman;sans-serif" w:hAnsi="Times New Roman;sans-serif"/>
          <w:b w:val="false"/>
          <w:color w:val="000000"/>
          <w:sz w:val="24"/>
        </w:rPr>
        <w:t>) containing the terms required herein, in the face amount of the Letter of Credit Amount, naming Landlord as beneficiary, issued (or confirmed) by JPM Chase Bank, Bank of America, Citigroup, Wells Fargo, U.S. Bancorp or other financial institution acceptable to Landlord in Landlord’s sole discretion, permitting multiple and partial draws thereon, and otherwise in form acceptable to Landlord in its sole discretion. Tenant shall cause the Letter of Credit to be continuously maintained in effect (whether through replacement, renewal or extension) in the Letter of Credit Amount through the date (the “</w:t>
      </w:r>
      <w:r>
        <w:rPr>
          <w:rFonts w:ascii="Times New Roman;sans-serif" w:hAnsi="Times New Roman;sans-serif"/>
          <w:b/>
          <w:color w:val="000000"/>
          <w:sz w:val="24"/>
          <w:u w:val="single"/>
        </w:rPr>
        <w:t>Final LC Expiration Date</w:t>
      </w:r>
      <w:r>
        <w:rPr>
          <w:color w:val="000000"/>
        </w:rPr>
        <w:t>”</w:t>
      </w:r>
      <w:r>
        <w:rPr>
          <w:rFonts w:ascii="Times New Roman;sans-serif" w:hAnsi="Times New Roman;sans-serif"/>
          <w:b w:val="false"/>
          <w:color w:val="000000"/>
          <w:sz w:val="24"/>
        </w:rPr>
        <w:t>) that is 120 days after the scheduled expiration date of the Term or any renewal Term. If the Letter of Credit held by Landlord expires earlier than the Final LC Expiration Date (whether by reason of a stated expiration date or a notice of termination or non-renewal given by the issuing bank), Tenant shall deliver a new Letter of Credit or certificate of renewal or extension to Landlord not later than 30 days prior to the expiration date of the Letter of Credit then held by Landlord. Any renewal or replacement Letter of Credit shall comply with all of the provisions of this Section 30, shall be irrevocable, transferable and shall remain in effect (or be automatically renewable) through the Final LC Expiration Date upon the same terms as the expiring Letter of Credit or such other terms as may be acceptable to Landlord in its sole discretion.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Drawings under Letter of Credit</w:t>
      </w:r>
      <w:r>
        <w:rPr>
          <w:rFonts w:ascii="Times New Roman;sans-serif" w:hAnsi="Times New Roman;sans-serif"/>
          <w:b w:val="false"/>
          <w:color w:val="000000"/>
          <w:sz w:val="24"/>
        </w:rPr>
        <w:t>. Landlord shall have the right to draw upon the Letter of Credit, in whole or in part, at any time and from time to time:</w:t>
      </w:r>
    </w:p>
    <w:p>
      <w:pPr>
        <w:pStyle w:val="TextBody"/>
        <w:bidi w:val="0"/>
        <w:spacing w:lineRule="auto" w:line="288" w:before="0" w:after="240"/>
        <w:ind w:left="0" w:right="0" w:firstLine="1214"/>
        <w:jc w:val="both"/>
        <w:rPr>
          <w:rFonts w:ascii="Times New Roman;sans-serif" w:hAnsi="Times New Roman;sans-serif"/>
          <w:b w:val="false"/>
          <w:color w:val="000000"/>
          <w:sz w:val="24"/>
        </w:rPr>
      </w:pPr>
      <w:r>
        <w:rPr>
          <w:rFonts w:ascii="Times New Roman;sans-serif" w:hAnsi="Times New Roman;sans-serif"/>
          <w:b w:val="false"/>
          <w:color w:val="000000"/>
          <w:sz w:val="24"/>
        </w:rPr>
        <w:t>(i)If an Event of Default occurs; or</w:t>
      </w:r>
    </w:p>
    <w:p>
      <w:pPr>
        <w:pStyle w:val="TextBody"/>
        <w:bidi w:val="0"/>
        <w:spacing w:lineRule="auto" w:line="288" w:before="0" w:after="240"/>
        <w:ind w:left="0" w:right="0" w:firstLine="1147"/>
        <w:jc w:val="both"/>
        <w:rPr>
          <w:rFonts w:ascii="Times New Roman;sans-serif" w:hAnsi="Times New Roman;sans-serif"/>
          <w:b w:val="false"/>
          <w:color w:val="000000"/>
          <w:sz w:val="24"/>
        </w:rPr>
      </w:pPr>
      <w:r>
        <w:rPr>
          <w:rFonts w:ascii="Times New Roman;sans-serif" w:hAnsi="Times New Roman;sans-serif"/>
          <w:b w:val="false"/>
          <w:color w:val="000000"/>
          <w:sz w:val="24"/>
        </w:rPr>
        <w:t>(ii)If the Letter of Credit held by Landlord expires earlier than the Final LC Expiration Date (whether by reason of a stated expiration date or a notice of termination or non-renewal given by the issuing bank), and Tenant fails to deliver to Landlord, at least 30 days prior to the expiration date of the Letter of Credit then held by Landlord, a renewal or substitute Letter of Credit that is in effect and that complies with the provisions of this Section 30.</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condition or term of this Lease shall be deemed to render the Letter of Credit conditional to justify the issuer of the Letter of Credit in failing to honor a drawing upon such Letter of Credit in a timely manner. Tenant hereby acknowledges and agrees that Landlord is entering into this Lease in material reliance upon the ability of Landlord to draw upon the Letter of Credit upon the occurrence of any Event of Default by Tenant under this Lease or upon the occurrence of any of the other events described above in this Section 30(b).</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Use of Proceeds by Landlord</w:t>
      </w:r>
      <w:r>
        <w:rPr>
          <w:rFonts w:ascii="Times New Roman;sans-serif" w:hAnsi="Times New Roman;sans-serif"/>
          <w:b w:val="false"/>
          <w:color w:val="000000"/>
          <w:sz w:val="24"/>
        </w:rPr>
        <w:t>. The proceeds of the Letter of Credit may be applied by Landlord against any Rent payable by Tenant under this Lease that is not paid when due and/or to pay for all losses and damages that Landlord has suffered or that Landlord reasonably estimates that it will suffer as a result of any default by Tenant under this Lease. Landlord shall deposit any unused proceeds in a separate account in the name of Landlord or its designee at a financial institution selected by Landlord in its sole discretion (the “</w:t>
      </w:r>
      <w:r>
        <w:rPr>
          <w:rFonts w:ascii="Times New Roman;sans-serif" w:hAnsi="Times New Roman;sans-serif"/>
          <w:b/>
          <w:color w:val="000000"/>
          <w:sz w:val="24"/>
          <w:u w:val="single"/>
        </w:rPr>
        <w:t>LC Proceeds Account</w:t>
      </w:r>
      <w:r>
        <w:rPr>
          <w:color w:val="000000"/>
        </w:rPr>
        <w:t>”</w:t>
      </w:r>
      <w:r>
        <w:rPr>
          <w:rFonts w:ascii="Times New Roman;sans-serif" w:hAnsi="Times New Roman;sans-serif"/>
          <w:b w:val="false"/>
          <w:color w:val="000000"/>
          <w:sz w:val="24"/>
        </w:rPr>
        <w:t xml:space="preserve">). Landlord may apply funds from the LC Proceeds Account against any Rent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88925"/>
                <wp:effectExtent l="0" t="0" r="0" b="0"/>
                <wp:wrapNone/>
                <wp:docPr id="89" name="Frame8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Tenant under this Lease that is not paid when due and/or to pay for all losses and damages that Landlord has suffered or that Landlord reasonably estimates that it will suffer as a result of any default by Tenant under this Lease. The LC Proceeds Account is an asset of the Landlord and Tenant hereby disclaims all rights to the Account. The LC Proceeds Account shall be under the sole control of Landlord. Tenant shall not have any right to direct the disposition of funds from the LC Proceeds Account or any other right or interest in the LC Proceeds Account. Tenant shall, at any time and from time to time, execute, acknowledge and deliver such documents and take such actions as Landlord or the bank with which the LC Proceeds Account is maintained may reasonably request concerning the creation or perfection of the security interest granted to Landlord in (including Landlord’s control of) LC Proceeds Account or to effect the provisions of this Section 30(c). Tenant does hereby make, constitute and appoint Landlord its true and lawful attorney-in-fact, for it and in its name, place and stead, to execute and deliver all such instruments and documents, and to do all such other acts and things, as Landlord may deem to be necessary or desirable to protect and preserve the rights granted to Landlord under this Section 30(c). Tenant hereby grants to Landlord the full power and authority to appoint one or more substitutes to perform any of the acts that Landlord is authorized to perform under this Section 30(c), with a right to revoke such appointment of substitution at Landlord’s pleasure. The power of attorney granted pursuant to this Section 30(c) is coupled with an interest and therefore is irrevocable. Any person dealing with Landlord may rely upon the representation of Landlord relating to any authority granted by this power of attorney, including the intended scope of the authority, and may accept the written certificate of Landlord that this power of attorney is in full force and effect. Photographic or other facsimile reproductions of this executed Lease may be made and delivered by Landlord, and may be relied upon by any person to the same extent as though the copy were an original. Anyone who acts in reliance upon any representation or certificate of Landlord, or upon a reproduction of this Lease, shall not be liable for permitting Landlord to perform any act pursuant to this power of attorney. Provided Tenant has performed all of its obligations under this Lease, Landlord agrees to pay to Tenant within 30 days after the Final LC Expiration Date the amount of any proceeds of the Letter of Credit received by Landlord and not applied against any Rent payable by Tenant under this Lease that was not paid when due or used to pay for any losses and/or damages suffered by Landlord (or reasonably estimated by Landlord that it will suffer) as a result of any default by Tenant under this Lease; provided, that if prior to the Final LC Expiration Date a voluntary petition is filed by Tenant, or an involuntary petition is filed against Tenant by any of Tenant’s creditors, under the Federal Bankruptcy Code, then Landlord shall not be obligated to make such payment in the amount of the unused Letter of Credit proceeds until either all preference issues relating to payments under this Lease have been resolved in such bankruptcy or reorganization case or such bankruptcy or reorganization case has been dismissed, in each case pursuant to a final court order not subject to appeal or any stay pending appeal.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Additional Covenants of Tenant</w:t>
      </w:r>
      <w:r>
        <w:rPr>
          <w:rFonts w:ascii="Times New Roman;sans-serif" w:hAnsi="Times New Roman;sans-serif"/>
          <w:b w:val="false"/>
          <w:color w:val="000000"/>
          <w:sz w:val="24"/>
        </w:rPr>
        <w:t xml:space="preserve">. If, as result of any application or use by Landlord of all or any part of the Letter of Credit, the amount of the Letter of Credit shall be less than the Letter of Credit Amount, Tenant shall, within five days thereafter, provide Landlord with additional letter(s) of credit in an amount equal to the deficiency (or a replacement letter of credit in the total Letter of Credit Amount), and any such additional (or replacement) letter of credit shall comply with all of the provisions of this Section 30, and if Tenant fails to comply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88925"/>
                <wp:effectExtent l="0" t="0" r="0" b="0"/>
                <wp:wrapNone/>
                <wp:docPr id="90" name="Frame9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the foregoing, notwithstanding anything to the contrary contained in this Lease, the same shall constitute an uncurable Event of Default by Tenant. Tenant further covenants and warrants that it will neither assign nor encumber the Letter of Credit or any part thereof or any interest in the LC Proceeds Account and that neither Landlord nor its successors or assigns will be bound by any such assignment, encumbrance, attempted assignment or attempted encumbrance.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Transfer of Letter of Credit</w:t>
      </w:r>
      <w:r>
        <w:rPr>
          <w:rFonts w:ascii="Times New Roman;sans-serif" w:hAnsi="Times New Roman;sans-serif"/>
          <w:b w:val="false"/>
          <w:color w:val="000000"/>
          <w:sz w:val="24"/>
        </w:rPr>
        <w:t>. Landlord may, at any time and without notice to Tenant and without first obtaining Tenant’s consent thereto, transfer all or any portion of its interest in and to the Letter of Credit to another party, person or entity who is a successor Landlord including Landlord’s Mortgagee and/or to have the Letter of Credit reissued in the name of Landlord’s Mortgagee. If Landlord transfers its interest in the Building and transfers the Letter of Credit (or any proceeds thereof then held by Landlord) in whole or in part to the transferee, Landlord shall, without any further agreement between the parties hereto, thereupon be released by Tenant from all liability therefor. The provisions hereof shall apply to every transfer or assignment of all or any part of the Letter of Credit to a new landlord. In connection with any such transfer of the Letter of Credit by Landlord, Tenant shall, at Tenant’s sole cost and expense, execute and submit to the issuer of the Letter of Credit such applications, documents and instruments as may be necessary to effectuate such transfer. Tenant shall be responsible for paying the issuer’s transfer and processing fees in connection with any transfer of the Letter of Credit and, if Landlord advances any such fees (without having any obligation to do so), Tenant shall reimburse Landlord for any such transfer or processing fees within ten days after Landlord’s written request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Nature of Letter of Credit</w:t>
      </w:r>
      <w:r>
        <w:rPr>
          <w:rFonts w:ascii="Times New Roman;sans-serif" w:hAnsi="Times New Roman;sans-serif"/>
          <w:b w:val="false"/>
          <w:color w:val="000000"/>
          <w:sz w:val="24"/>
        </w:rPr>
        <w:t>. Landlord and Tenant (1) acknowledge and agree that in no event or circumstance shall the Letter of Credit or any renewal thereof or substitute therefor or any proceeds thereof (including the LC Proceeds Account) be deemed to be or treated as a “security deposit” under any Law applicable to security deposits in the commercial context (“</w:t>
      </w:r>
      <w:r>
        <w:rPr>
          <w:rFonts w:ascii="Times New Roman;sans-serif" w:hAnsi="Times New Roman;sans-serif"/>
          <w:b/>
          <w:color w:val="000000"/>
          <w:sz w:val="24"/>
          <w:u w:val="single"/>
        </w:rPr>
        <w:t>Security Deposit Laws</w:t>
      </w:r>
      <w:r>
        <w:rPr>
          <w:color w:val="000000"/>
        </w:rPr>
        <w:t>”</w:t>
      </w:r>
      <w:r>
        <w:rPr>
          <w:rFonts w:ascii="Times New Roman;sans-serif" w:hAnsi="Times New Roman;sans-serif"/>
          <w:b w:val="false"/>
          <w:color w:val="000000"/>
          <w:sz w:val="24"/>
        </w:rPr>
        <w:t xml:space="preserve">), (2) acknowledge and agree that the Letter of Credit (including any renewal thereof or substitute therefor or any proceeds thereof) is not intended to serve as a security deposit, and the Security Deposit Laws shall have no applicability or relevancy thereto, and (3) waive any and all rights, duties and obligations either party may now or, in the future, will have relating to or arising from the Security Deposit Laws. </w:t>
      </w:r>
    </w:p>
    <w:p>
      <w:pPr>
        <w:pStyle w:val="TextBody"/>
        <w:bidi w:val="0"/>
        <w:spacing w:lineRule="auto" w:line="288" w:before="0" w:after="240"/>
        <w:ind w:left="0" w:right="0" w:firstLine="720"/>
        <w:jc w:val="both"/>
        <w:rPr/>
      </w:pPr>
      <w:r>
        <w:rPr>
          <w:rFonts w:ascii="Times New Roman;sans-serif" w:hAnsi="Times New Roman;sans-serif"/>
          <w:b/>
          <w:color w:val="000000"/>
          <w:sz w:val="24"/>
        </w:rPr>
        <w:t>31.</w:t>
      </w:r>
      <w:r>
        <w:rPr>
          <w:rFonts w:ascii="Times New Roman;sans-serif" w:hAnsi="Times New Roman;sans-serif"/>
          <w:b/>
          <w:color w:val="000000"/>
          <w:sz w:val="24"/>
          <w:u w:val="single"/>
        </w:rPr>
        <w:t>Other Provisions</w:t>
      </w:r>
      <w:r>
        <w:rPr>
          <w:rFonts w:ascii="Times New Roman;sans-serif" w:hAnsi="Times New Roman;sans-serif"/>
          <w:b/>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License Holder Disclosure</w:t>
      </w:r>
      <w:r>
        <w:rPr>
          <w:rFonts w:ascii="Times New Roman;sans-serif" w:hAnsi="Times New Roman;sans-serif"/>
          <w:b w:val="false"/>
          <w:color w:val="000000"/>
          <w:sz w:val="24"/>
        </w:rPr>
        <w:t xml:space="preserve">. Georgia law requires a real estate license holder who is a party to a transaction or acting on behalf of a business entity in which the license holder owns an interest to notify the other party in writing before entering into a lease agreement. Disclosure: Joanna Blaesing, Mark Hawks, and Todd Barton are licensed real estate brokers in the State of Georgia and may own an indirect interest in Landlord and the Project. </w:t>
      </w:r>
    </w:p>
    <w:p>
      <w:pPr>
        <w:pStyle w:val="TextBody"/>
        <w:bidi w:val="0"/>
        <w:spacing w:before="0" w:after="24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88925"/>
                <wp:effectExtent l="0" t="0" r="0" b="0"/>
                <wp:wrapNone/>
                <wp:docPr id="91" name="Frame9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Lease is executed on the respective dates set forth below, but for reference purposes, this Lease shall be dated as of the date first above written. If the execution date is left blank, this Lease shall be deemed executed as of the date first written above.</w:t>
      </w:r>
    </w:p>
    <w:tbl>
      <w:tblPr>
        <w:tblW w:w="10205" w:type="dxa"/>
        <w:jc w:val="left"/>
        <w:tblInd w:w="0" w:type="dxa"/>
        <w:tblLayout w:type="fixed"/>
        <w:tblCellMar>
          <w:top w:w="28" w:type="dxa"/>
          <w:left w:w="28" w:type="dxa"/>
          <w:bottom w:w="28" w:type="dxa"/>
          <w:right w:w="28" w:type="dxa"/>
        </w:tblCellMar>
      </w:tblPr>
      <w:tblGrid>
        <w:gridCol w:w="613"/>
        <w:gridCol w:w="539"/>
        <w:gridCol w:w="541"/>
        <w:gridCol w:w="2932"/>
        <w:gridCol w:w="2306"/>
        <w:gridCol w:w="327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LANDLORD:    </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ans-serif" w:hAnsi="Times New Roman;sans-serif"/>
                <w:b/>
                <w:color w:val="000000"/>
                <w:sz w:val="24"/>
              </w:rPr>
              <w:t>CH REALTY IX-NDG ATLANTA FREEMAN INTERMODAL, L.P.</w:t>
            </w:r>
            <w:r>
              <w:rPr>
                <w:rFonts w:ascii="Times New Roman;sans-serif" w:hAnsi="Times New Roman;sans-serif"/>
                <w:b w:val="false"/>
                <w:color w:val="000000"/>
                <w:sz w:val="24"/>
              </w:rPr>
              <w:t>, a Delaware limited partnership</w:t>
            </w:r>
            <w:r>
              <w:rPr>
                <w:rFonts w:ascii="Times New Roman;sans-serif" w:hAnsi="Times New Roman;sans-serif"/>
                <w:b w:val="false"/>
                <w:color w:val="000000"/>
                <w:sz w:val="24"/>
                <w:u w:val="single"/>
              </w:rPr>
              <w:br/>
            </w:r>
            <w:r>
              <w:rPr>
                <w:rFonts w:ascii="Times New Roman;sans-serif" w:hAnsi="Times New Roman;sans-serif"/>
                <w:b w:val="false"/>
                <w:color w:val="000000"/>
                <w:sz w:val="24"/>
              </w:rPr>
              <w:br/>
              <w:t xml:space="preserve">By: 20 West Industrial GP, LLC, </w:t>
              <w:br/>
              <w:t xml:space="preserve">a Georgia limited liability company, </w:t>
              <w:br/>
              <w:t>its general partner</w:t>
            </w:r>
          </w:p>
          <w:p>
            <w:pPr>
              <w:pStyle w:val="TableContents"/>
              <w:bidi w:val="0"/>
              <w:spacing w:lineRule="auto" w:line="288"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Title:</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(CORPORATE SEAL)</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br/>
              <w:t>Execution Date: September ____, 2024</w:t>
            </w:r>
          </w:p>
        </w:tc>
      </w:tr>
      <w:tr>
        <w:trPr/>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TENANT:</w:t>
            </w:r>
          </w:p>
        </w:tc>
        <w:tc>
          <w:tcPr>
            <w:tcW w:w="8512" w:type="dxa"/>
            <w:gridSpan w:val="3"/>
            <w:tcBorders/>
            <w:tcMar>
              <w:top w:w="0" w:type="dxa"/>
              <w:left w:w="0" w:type="dxa"/>
              <w:bottom w:w="0" w:type="dxa"/>
              <w:right w:w="0" w:type="dxa"/>
            </w:tcMar>
            <w:vAlign w:val="center"/>
          </w:tcPr>
          <w:p>
            <w:pPr>
              <w:pStyle w:val="TableContents"/>
              <w:bidi w:val="0"/>
              <w:spacing w:lineRule="auto" w:line="288" w:before="0" w:after="480"/>
              <w:jc w:val="both"/>
              <w:rPr/>
            </w:pPr>
            <w:r>
              <w:rPr>
                <w:rFonts w:ascii="Times New Roman;sans-serif" w:hAnsi="Times New Roman;sans-serif"/>
                <w:b/>
                <w:color w:val="000000"/>
                <w:sz w:val="24"/>
              </w:rPr>
              <w:t>HF FOODS GROUP, INC.</w:t>
            </w:r>
            <w:r>
              <w:rPr>
                <w:rFonts w:ascii="Times New Roman;sans-serif" w:hAnsi="Times New Roman;sans-serif"/>
                <w:b w:val="false"/>
                <w:color w:val="000000"/>
                <w:sz w:val="24"/>
              </w:rPr>
              <w:t>, a Delaware corporation</w:t>
            </w:r>
          </w:p>
          <w:p>
            <w:pPr>
              <w:pStyle w:val="TableContents"/>
              <w:bidi w:val="0"/>
              <w:spacing w:lineRule="auto" w:line="288" w:before="0" w:after="0"/>
              <w:jc w:val="both"/>
              <w:rPr/>
            </w:pPr>
            <w:r>
              <w:rPr>
                <w:rFonts w:ascii="Times New Roman;sans-serif" w:hAnsi="Times New Roman;sans-serif"/>
                <w:b w:val="false"/>
                <w:color w:val="000000"/>
                <w:sz w:val="24"/>
              </w:rPr>
              <w:t>By:</w:t>
            </w:r>
            <w:r>
              <w:rPr>
                <w:color w:val="000000"/>
                <w:u w:val="single"/>
              </w:rPr>
              <w:t>                        </w:t>
            </w:r>
          </w:p>
          <w:p>
            <w:pPr>
              <w:pStyle w:val="TableContents"/>
              <w:bidi w:val="0"/>
              <w:spacing w:lineRule="auto" w:line="288" w:before="0" w:after="0"/>
              <w:jc w:val="both"/>
              <w:rPr/>
            </w:pPr>
            <w:r>
              <w:rPr>
                <w:rFonts w:ascii="Times New Roman;sans-serif" w:hAnsi="Times New Roman;sans-serif"/>
                <w:b w:val="false"/>
                <w:color w:val="000000"/>
                <w:sz w:val="24"/>
              </w:rPr>
              <w:t>Name:</w:t>
            </w:r>
            <w:r>
              <w:rPr>
                <w:color w:val="000000"/>
                <w:u w:val="single"/>
              </w:rPr>
              <w:t xml:space="preserve">                         </w:t>
            </w:r>
          </w:p>
          <w:p>
            <w:pPr>
              <w:pStyle w:val="TableContents"/>
              <w:bidi w:val="0"/>
              <w:spacing w:lineRule="auto" w:line="288" w:before="0" w:after="0"/>
              <w:jc w:val="both"/>
              <w:rPr/>
            </w:pPr>
            <w:r>
              <w:rPr>
                <w:rFonts w:ascii="Times New Roman;sans-serif" w:hAnsi="Times New Roman;sans-serif"/>
                <w:b w:val="false"/>
                <w:color w:val="000000"/>
                <w:sz w:val="24"/>
              </w:rPr>
              <w:t>Title:</w:t>
            </w:r>
            <w:r>
              <w:rPr>
                <w:color w:val="000000"/>
                <w:u w:val="single"/>
              </w:rPr>
              <w:t xml:space="preserve">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(CORPORATE SEAL)</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br/>
              <w:t>Execution Date: September ____, 2024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Secretary of State Organizational Number: _______________________________</w:t>
            </w:r>
          </w:p>
        </w:tc>
      </w:tr>
    </w:tbl>
    <w:p>
      <w:pPr>
        <w:pStyle w:val="TextBody"/>
        <w:bidi w:val="0"/>
        <w:spacing w:before="0" w:after="480"/>
        <w:ind w:left="0" w:right="0" w:hanging="43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88925"/>
                <wp:effectExtent l="0" t="0" r="0" b="0"/>
                <wp:wrapNone/>
                <wp:docPr id="92" name="Frame9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br/>
        <w:br/>
        <w:t xml:space="preserve">OUTLINE OF PREMISES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2266950"/>
            <wp:effectExtent l="0" t="0" r="0" b="0"/>
            <wp:docPr id="9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 descr=""/>
                    <pic:cNvPicPr>
                      <a:picLocks noChangeAspect="1" noChangeArrowheads="1"/>
                    </pic:cNvPicPr>
                  </pic:nvPicPr>
                  <pic:blipFill>
                    <a:blip r:embed="rId18"/>
                    <a:stretch>
                      <a:fillRect/>
                    </a:stretch>
                  </pic:blipFill>
                  <pic:spPr bwMode="auto">
                    <a:xfrm>
                      <a:off x="0" y="0"/>
                      <a:ext cx="5943600" cy="22669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88925"/>
                <wp:effectExtent l="0" t="0" r="0" b="0"/>
                <wp:wrapNone/>
                <wp:docPr id="94" name="Frame9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br/>
        <w:br/>
        <w:t>DESCRIPTION OF THE LAND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TRACT ONE: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 that tract or parcel of land lying and being in Land Lots 1096 and 1097 of the 19th District, 2nd Section, Cobb County, Georgia and being more particularly described as follows: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BEGTNNING at the common comer of Land Lots 1050, 1051, 1097 and 1096; thence South 87 degrees 58 minutes 50 seconds East a distance of 198.12 feet along the north line of Land T ,ot 1096; continuing along the north line of Land Lot I 096 North 89 degrees 04 minutes 20 seconds East a distance of21.00 feet to comer point; thence South 37 degrees 35 minutes 58 seconds West a distance of 941.41 feet to point located on the northeasterly side of Access Road; thence North 42 degrees 37 minutes 31 seconds West along the northeasterly side of Access Road a distance of 1038.18 feet to corner point on the north line of Land Lot 1097; thence South 89 degrees 23 minutes 03 seconds East along the north line of Land Lot 1097 a distance of 1058.51 feet to common corner of Land Lots 1050, 1051, 1097 and 1096 and said POINT OF BEGINNING.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TRACT TWO: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 that tract or parcel of land lying and being in Land Lots l 096 and 1097 of the 19th District, 2nd Section, Cobb County, Georgia and being more particularly described as follows: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BEGINNNG at a point on the north line off ,and Lot 1096 said point being 219.12 feet East uf the northwest comer of Land Lot 1096 as measured along the north line of Land Lot 1096; thence North 89 degrees 04 minutes 21 seconds East along the north line of Land Lot 1096 a distance of 509.64 feet to corner point; thence South 44 degrees I 3 minutes 15 seconds West a distance of 1311.06 feet to a point located on right of way of Access Road; thence North 42 degrees 27 minutes 35 seconds West a distance of 251.31 feet along said right of way; thence North 37 degrees 35 minutes 58 seconds East a distance of 941.41 feet to POINT OF BEGINNING.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TRACT THREE: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A1 l that tract or parcel of land lying and being in Land Lots 1096 an&lt;l 1097 of the 19th District, 2nd Section, Cobb County, Georgia and being approximately 36.87 acres as shown on a plat of survey thereof by Kenneth L. Nutt, Surveyor (Perimeter Surveying, Inc.) for Bill Askea dated February 20, 1985 and being more particularly described as follows: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BEGINNING at an iron pin at the Southeast corner of Land Lot 1096 thence North 89 degrees 39 minutes 03 seconds West along the South Land Lot Line of Land Lot 1096 a distance of 1164.98 feet to an iron pin on the Northwesterly right of way of Thornton Road Extension (S.R.#6); thence Jorth 64 degrees 48 minutes 54 seconds West along the Northwesterly right of way of Thornton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Road Extension 560.20 feet to an iron pin; thence No1th 44 degrees 13 minutes 15 seconds East a distance of 1469.56 feet to an iron pin on the North Land Lot Linc of Land Lot 1096; thence North 89 degrees 0 1 minutes 53 seconds East 706.15 feet to an iron pin at the Northeast corner of Land Lot 1096; thence South 02 degrees 33 minutes 34 seconds West along the East Land Lot Line of Land Lot 1096 a distance of 1312.11 feet to an iron pin at the Southeast corner of Land Lot 1096 and the Point of Beginning.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88925"/>
                <wp:effectExtent l="0" t="0" r="0" b="0"/>
                <wp:wrapNone/>
                <wp:docPr id="95" name="Frame9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C</w:t>
        <w:br/>
        <w:br/>
        <w:t>BUILDING RULES AND REGULATIONS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rules and regulations shall apply to the Premises, the Building, and the Project: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Sidewalks, doorways, vestibules, halls, stairways, loading dock areas and associated overhead doors, and other similar areas shall not be obstructed by tenants or used by any tenant for purposes other than ingress and egress to and from their respective leased premises and for going from one to another part of the Building.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Plumbing (including outside drains and sump pumps),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No signs, advertisements or notices shall be painted or affixed on or to any windows or doors or other part of the Building visible from the exterior of the Premises without the prior written consent of Landlord. Except as consented to in writing by Landlord or in accordance with Tenant's building standard improvements, no draperies, curtains, blinds, shades, screens or other devices shall be hung at or used in connection with any window or exterior door or doors of the Premises. No awning shall be permitted on any part of the Premises. Tenant shall not place anything against or near glass partitions or doors, or windows which might appear unsightly from outside the Premises.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Tenant, at its expense, shall be responsible for providing all door locks in the Premises and shall provide to Landlord, at Tenant's expense, contemporaneously with the installation of such devices, a master key, card keys, access codes or other means to allow Landlord immediate access to all areas within the Premises.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Landlord may prescribe weight limitations and determine the locations for safes and other heavy equipment or items, which shall in all cases be placed in the Building so as to distribute weight in a manner acceptable to Landlord which may include the use of such supporting devices as Landlord may require. All damages to the Building caused by the installation or removal of any property of a tenant, or done by a tenant's property while in the Building, shall be repaired at the expense of such tenant.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Corridor doors, when not in use, shall be kept closed. Nothing shall be swept or thrown into the corridors, halls, elevator shafts or stairways. No birds or animals (other than seeing-eye dogs) shall be brought into or kept in, on or about any tenant's leased premises. No portion of any tenant's leased premises shall at any time be used or occupied as sleeping or lodging quarters.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88925"/>
                <wp:effectExtent l="0" t="0" r="0" b="0"/>
                <wp:wrapNone/>
                <wp:docPr id="96" name="Frame9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Tenant shall not make or permit any vibration or improper, objectionable or unpleasant noises or odors in the Building or otherwise interfere in any way with other tenants or persons having business with them. Tenant shall not introduce, disturb or release asbestos or PCB's into or from the Premises.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Tenant shall not keep in the Building any flammable or explosive fluid or substance. Tenant shall not install or operate any steam or gas engine or boiler, or other mechanical apparatus in the Premises without the prior written consent of Landlord. The use of oil, gas or inflammable liquids for heating, lighting or any other purpose is expressly prohibited. Explosives or other articles deemed extra hazardous shall not be brought into the Building.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Landlord will not be responsible for lost or stolen personal property, money or jewelry from tenant's leased premises or public or common areas regardless of whether such loss occurs when the area is locked against entry or not.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[Intentionally Omitted]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All vehicles are to be currently licensed, in good operating condition, parked for business purposes having to do with Tenant's business operated in the Premises, parked within designated parking spaces, one vehicle to each space. No vehicle shall be parked as a "billboard" vehicle in the parking lot. Any vehicle parked improperly may be towed away. Tenant, Tenant's agents, employees, vendors and customers who do not operate or park their vehicles as required shall subject the vehicle to being towed at the expense of the owner or driver. Landlord may place a "boot" on the vehicle to immobilize it and may levy a charge of $50.00 to remove the "boot." Tenant shall indemnify, hold and save harmless Landlord of any liability arising from the towing or booting of any vehicles belonging to a Tenant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No tenant may enter into phone rooms, electrical rooms, mechanical rooms, or other service areas of the Building unless accompanied by Landlord or the Building manager.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Tenant shall not permit storage outside the Premises, including outside storage of trucks and other vehicles, or dumping of waste or refuse or permit any harmful materials to be placed in any drainage system or sanitary system in or about the Premises.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Tenant shall not install or operate on the Premises any machinery or mechanical devices of a nature not directly related to Tenant's ordinary use of the Premises.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Tenant shall not park or operate any semi-trucks or semi-trailers in the parking areas associated with the Building.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rPr>
        <w:t>Tenant will not permit any Tenant Party to bring onto the Project any handgun, firearm or other weapons of any kind, illegal drugs or, unless expressly permitted by Landlord in writing, alcoholic beverages.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rPr>
        <w:t xml:space="preserve">Tenant shall not permit its employees, agents, or invitees to smoke in the Premises or the lobbies, passages, corridors, elevators, vending rooms, rest rooms, stairways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88925"/>
                <wp:effectExtent l="0" t="0" r="0" b="0"/>
                <wp:wrapNone/>
                <wp:docPr id="97" name="Frame9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area shared in common with other tenants in the Building, or permit its employees, agents, or invitees, to loiter at the Building entrances for the purposes of smoking. Landlord may, but shall not be required to, designate an area for smoking outside the Building.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88925"/>
                <wp:effectExtent l="0" t="0" r="0" b="0"/>
                <wp:wrapNone/>
                <wp:docPr id="98" name="Frame9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C-1</w:t>
        <w:br/>
        <w:br/>
        <w:t>TRAFFIC RULES AND REGULATIONS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Innovative Way shall be limited to a right in, right out and is limited to employee passenger vehicle traffic only (i.e., no commercial vehicles).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Any damage to Innovative Way in excess of ordinary wear and tear caused by Tenant or Tenant’s employees, customers, invitees, and contractors shall be repaired by the City, at the sole cost and expense of Tenant and Tenant shall pay any such expenses upon demand therefor from Landlord or the City.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There shall be monthly communication among Tenant, Landlord, and Tenant’s suppliers regarding observation of and compliance with the commercial truck routes set forth below. Tenant shall cause all commercial trucks at the Project to utilize commercial GPS units (and not consumer-grade navigation devices or applications) to ensure compliance with the required truck routes. Tenant acknowledges that the City may impose fines for violation of the truck routes required by the terms of this Exhibit and that Tenant shall be responsible for payment of such fines.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 xml:space="preserve">The required routes for commercial trucks entering and/or exiting the Project as of the date of the Lease are set forth below and are incorporated herein by reference. As of the date of the Lease, commercial trucks may only enter or exit the Project from Oglesby Road at the access point labeled below; commercial trucks are prohibited from i) exiting the Project and turning right (east) onto Oglesby Road and (ii) turning from Oglesby Road right (north) onto Lewis Road. Tenant acknowledges and agrees that the City may modify or relocate such required routes at any time upon written notice to Tenant and/or 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88925"/>
                <wp:effectExtent l="0" t="0" r="0" b="0"/>
                <wp:wrapNone/>
                <wp:docPr id="99" name="Frame9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jc w:val="center"/>
        <w:rPr/>
      </w:pPr>
      <w:r>
        <w:rPr/>
        <w:drawing>
          <wp:inline distT="0" distB="0" distL="0" distR="0">
            <wp:extent cx="5943600" cy="3857625"/>
            <wp:effectExtent l="0" t="0" r="0" b="0"/>
            <wp:docPr id="10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 descr=""/>
                    <pic:cNvPicPr>
                      <a:picLocks noChangeAspect="1" noChangeArrowheads="1"/>
                    </pic:cNvPicPr>
                  </pic:nvPicPr>
                  <pic:blipFill>
                    <a:blip r:embed="rId19"/>
                    <a:stretch>
                      <a:fillRect/>
                    </a:stretch>
                  </pic:blipFill>
                  <pic:spPr bwMode="auto">
                    <a:xfrm>
                      <a:off x="0" y="0"/>
                      <a:ext cx="5943600" cy="3857625"/>
                    </a:xfrm>
                    <a:prstGeom prst="rect">
                      <a:avLst/>
                    </a:prstGeom>
                  </pic:spPr>
                </pic:pic>
              </a:graphicData>
            </a:graphic>
          </wp:inline>
        </w:drawing>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88925"/>
                <wp:effectExtent l="0" t="0" r="0" b="0"/>
                <wp:wrapNone/>
                <wp:docPr id="101" name="Frame9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D-1</w:t>
        <w:br/>
        <w:br/>
        <w:t>LANDLORD’S WORK: WORK OF LIMITED SCOPE</w:t>
        <w:br/>
        <w:t>(Landlord Performs the Work)</w:t>
        <w:br/>
        <w:t>(Demising Wall)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Acceptance of Premises; Base Building</w:t>
      </w:r>
      <w:r>
        <w:rPr>
          <w:rFonts w:ascii="Times New Roman;sans-serif" w:hAnsi="Times New Roman;sans-serif"/>
          <w:b w:val="false"/>
          <w:color w:val="000000"/>
          <w:sz w:val="24"/>
        </w:rPr>
        <w:t xml:space="preserve">. Except as set forth in this Exhibit, Tenant accepts the Premises in their "AS-IS" condition on the date that this Lease is entered into, including, without limitation, the following specific items: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Power</w:t>
      </w:r>
      <w:r>
        <w:rPr>
          <w:rFonts w:ascii="Times New Roman;sans-serif" w:hAnsi="Times New Roman;sans-serif"/>
          <w:b w:val="false"/>
          <w:color w:val="000000"/>
          <w:sz w:val="24"/>
        </w:rPr>
        <w:t>. Electrical current of 1,600 amps.</w:t>
      </w:r>
    </w:p>
    <w:p>
      <w:pPr>
        <w:pStyle w:val="TextBody"/>
        <w:bidi w:val="0"/>
        <w:spacing w:lineRule="auto" w:line="288" w:before="0" w:after="2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Demising Wall</w:t>
      </w:r>
      <w:r>
        <w:rPr>
          <w:rFonts w:ascii="Times New Roman;sans-serif" w:hAnsi="Times New Roman;sans-serif"/>
          <w:b w:val="false"/>
          <w:color w:val="000000"/>
          <w:sz w:val="24"/>
        </w:rPr>
        <w:t>. Landlord shall perform such work necessary to separately demise the Premises from the remainder of the Building in order to comply with all Laws, including splitting gas and electricity facilities as required by Law, and the installation of a demising wall, in each case using Building-standard materials (the "</w:t>
      </w:r>
      <w:r>
        <w:rPr>
          <w:rFonts w:ascii="Times New Roman;sans-serif" w:hAnsi="Times New Roman;sans-serif"/>
          <w:b/>
          <w:color w:val="000000"/>
          <w:sz w:val="24"/>
          <w:u w:val="single"/>
        </w:rPr>
        <w:t>Demising Wall Work</w:t>
      </w:r>
      <w:r>
        <w:rPr>
          <w:rFonts w:ascii="Times New Roman;sans-serif" w:hAnsi="Times New Roman;sans-serif"/>
          <w:b w:val="false"/>
          <w:color w:val="000000"/>
          <w:sz w:val="24"/>
        </w:rPr>
        <w:t>"). Upon completion of the Demising Wall Work, Tenant shall pay to Landlord an amount equal to the fifty percent (50%) of the total cost of the Demising Wall Work which shall be deducted from the Construction Allowance (as defined in Exhibit D-2). In the event of default of payment of such costs, Landlord (in addition to all other remedies) shall have the same rights as for an Event of Default under this 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Construction Representatives</w:t>
      </w:r>
      <w:r>
        <w:rPr>
          <w:rFonts w:ascii="Times New Roman;sans-serif" w:hAnsi="Times New Roman;sans-serif"/>
          <w:b w:val="false"/>
          <w:color w:val="000000"/>
          <w:sz w:val="24"/>
        </w:rPr>
        <w:t>. Landlord and Tenant shall each provide written notice to the other within five days following the Lease Date of Landlord's and Tenant's representatives for coordination of construction and approval of change orders, provided that either party may change its representative upon written notice to the other.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Miscellaneous</w:t>
      </w:r>
      <w:r>
        <w:rPr>
          <w:rFonts w:ascii="Times New Roman;sans-serif" w:hAnsi="Times New Roman;sans-serif"/>
          <w:b w:val="false"/>
          <w:color w:val="000000"/>
          <w:sz w:val="24"/>
        </w:rPr>
        <w:t>. To the extent not inconsistent with this Exhibit, Sections 8(a) and 22 of this Lease shall govern the performance of the Demising Wall Work and Landlord's and Tenant's respective rights and obligations regarding the improvements installed pursuant thereto.</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88925"/>
                <wp:effectExtent l="0" t="0" r="0" b="0"/>
                <wp:wrapNone/>
                <wp:docPr id="102" name="Frame10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D-2</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TENANT FINISH-WORK: ALLOWANCE</w:t>
        <w:br/>
        <w:t>(Tenant Performs the Work)</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w:t>
      </w:r>
      <w:r>
        <w:rPr>
          <w:rFonts w:ascii="Times New Roman;sans-serif" w:hAnsi="Times New Roman;sans-serif"/>
          <w:b/>
          <w:color w:val="000000"/>
          <w:sz w:val="24"/>
          <w:u w:val="single"/>
        </w:rPr>
        <w:t>Acceptance of Premises</w:t>
      </w:r>
      <w:r>
        <w:rPr>
          <w:rFonts w:ascii="Times New Roman;sans-serif" w:hAnsi="Times New Roman;sans-serif"/>
          <w:b w:val="false"/>
          <w:color w:val="000000"/>
          <w:sz w:val="24"/>
        </w:rPr>
        <w:t xml:space="preserve">. Except as set forth in </w:t>
      </w:r>
      <w:r>
        <w:rPr>
          <w:rFonts w:ascii="Times New Roman;sans-serif" w:hAnsi="Times New Roman;sans-serif"/>
          <w:b w:val="false"/>
          <w:color w:val="000000"/>
          <w:sz w:val="24"/>
          <w:u w:val="single"/>
        </w:rPr>
        <w:t>Exhibit D-1</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Exhibit</w:t>
      </w:r>
      <w:r>
        <w:rPr>
          <w:rFonts w:ascii="Times New Roman;sans-serif" w:hAnsi="Times New Roman;sans-serif"/>
          <w:b w:val="false"/>
          <w:color w:val="000000"/>
          <w:sz w:val="24"/>
        </w:rPr>
        <w:t>, Tenant accepts the Premises in their "AS-IS" condition on the date that this Lease is entered into.</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Space Plans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Preparation and Delivery</w:t>
      </w:r>
      <w:r>
        <w:rPr>
          <w:rFonts w:ascii="Times New Roman;sans-serif" w:hAnsi="Times New Roman;sans-serif"/>
          <w:b w:val="false"/>
          <w:color w:val="000000"/>
          <w:sz w:val="24"/>
        </w:rPr>
        <w:t>. On or before the tenth day following the date of this Lease (such earlier date is referred to herein as the "</w:t>
      </w:r>
      <w:r>
        <w:rPr>
          <w:rFonts w:ascii="Times New Roman;sans-serif" w:hAnsi="Times New Roman;sans-serif"/>
          <w:b/>
          <w:color w:val="000000"/>
          <w:sz w:val="24"/>
          <w:u w:val="single"/>
        </w:rPr>
        <w:t>Space Plans Delivery Deadline</w:t>
      </w:r>
      <w:r>
        <w:rPr>
          <w:rFonts w:ascii="Times New Roman;sans-serif" w:hAnsi="Times New Roman;sans-serif"/>
          <w:b w:val="false"/>
          <w:color w:val="000000"/>
          <w:sz w:val="24"/>
        </w:rPr>
        <w:t>"), Tenant shall deliver to Landlord a space plan prepared by a design consultant reasonably acceptable to Landlord (the "</w:t>
      </w:r>
      <w:r>
        <w:rPr>
          <w:rFonts w:ascii="Times New Roman;sans-serif" w:hAnsi="Times New Roman;sans-serif"/>
          <w:b/>
          <w:color w:val="000000"/>
          <w:sz w:val="24"/>
          <w:u w:val="single"/>
        </w:rPr>
        <w:t>Architect</w:t>
      </w:r>
      <w:r>
        <w:rPr>
          <w:rFonts w:ascii="Times New Roman;sans-serif" w:hAnsi="Times New Roman;sans-serif"/>
          <w:b w:val="false"/>
          <w:color w:val="000000"/>
          <w:sz w:val="24"/>
        </w:rPr>
        <w:t>") depicting improvements to be installed in the Premises (the "</w:t>
      </w:r>
      <w:r>
        <w:rPr>
          <w:rFonts w:ascii="Times New Roman;sans-serif" w:hAnsi="Times New Roman;sans-serif"/>
          <w:b/>
          <w:color w:val="000000"/>
          <w:sz w:val="24"/>
          <w:u w:val="single"/>
        </w:rPr>
        <w:t>Space Plans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Approval Process</w:t>
      </w:r>
      <w:r>
        <w:rPr>
          <w:rFonts w:ascii="Times New Roman;sans-serif" w:hAnsi="Times New Roman;sans-serif"/>
          <w:b w:val="false"/>
          <w:color w:val="000000"/>
          <w:sz w:val="24"/>
        </w:rPr>
        <w:t>. Landlord shall notify Tenant whether it approves of the submitted Space Plans within five business days after Tenant's submission thereof. If Landlord disapproves of such Space Plans, then Landlord shall notify Tenant thereof specifying in reasonable detail the reasons for such disapproval, in which case Tenant shall, within three business days after such notice, revise such Space Plans in accordance with Landlord's objections and submit to Landlord for its review and approval. Landlord shall notify Tenant in writing whether it approves of the resubmitted Space Plans within three business days after its receipt thereof. This process shall be repeated until the Space Plans have been finally approved by Landlord and Tenant. If Landlord fails to notify Tenant that it disapproves of the initial Space Plans within five business days (or, in the case of resubmitted Space Plans, within three business days) after the submission thereof, then Landlord shall be deemed to have approved the Space Plans in question.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Working Drawings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Preparation and Delivery</w:t>
      </w:r>
      <w:r>
        <w:rPr>
          <w:rFonts w:ascii="Times New Roman;sans-serif" w:hAnsi="Times New Roman;sans-serif"/>
          <w:b w:val="false"/>
          <w:color w:val="000000"/>
          <w:sz w:val="24"/>
        </w:rPr>
        <w:t>. On or before the tenth day following the date on which the Space Plans are approved (or deemed approved) by Landlord and Tenant (such earlier date is referred to herein as the "</w:t>
      </w:r>
      <w:r>
        <w:rPr>
          <w:rFonts w:ascii="Times New Roman;sans-serif" w:hAnsi="Times New Roman;sans-serif"/>
          <w:b/>
          <w:color w:val="000000"/>
          <w:sz w:val="24"/>
          <w:u w:val="single"/>
        </w:rPr>
        <w:t>Working Drawings Delivery Deadline</w:t>
      </w:r>
      <w:r>
        <w:rPr>
          <w:rFonts w:ascii="Times New Roman;sans-serif" w:hAnsi="Times New Roman;sans-serif"/>
          <w:b w:val="false"/>
          <w:color w:val="000000"/>
          <w:sz w:val="24"/>
        </w:rPr>
        <w:t>"), Tenant shall provide to Landlord for its approval final working drawings, prepared by the Architect, of all improvements that Tenant proposes to install in the Premises; such working drawings shall include the partition layout, ceiling plan, electrical outlets and switches, telephone outlets, drawings for any modifications to the mechanical and plumbing systems of the Building, and detailed plans and specifications for the construction of the improvements called for under this Exhibit in accordance with all applicable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Approval Process</w:t>
      </w:r>
      <w:r>
        <w:rPr>
          <w:rFonts w:ascii="Times New Roman;sans-serif" w:hAnsi="Times New Roman;sans-serif"/>
          <w:b w:val="false"/>
          <w:color w:val="000000"/>
          <w:sz w:val="24"/>
        </w:rPr>
        <w:t xml:space="preserve">. Landlord shall notify Tenant whether it approves of the submitted working drawings within ten business days after Tenant's submission thereof. If Landlord disapproves of such working drawings, then Landlord shall notify Tenant thereof specifying in reasonable detail the reasons for such disapproval, in which case Tenant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88925"/>
                <wp:effectExtent l="0" t="0" r="0" b="0"/>
                <wp:wrapNone/>
                <wp:docPr id="103" name="Frame10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within three business days after such notice, revise such working drawings in accordance with Landlord's objections and submit the revised working drawings to Landlord for its review and approval. Landlord shall notify Tenant in writing whether it approves of the resubmitted working drawings within five business days after its receipt thereof. This process shall be repeated until the working drawings have been finally approved by Tenant and Landlord. If Landlord fails to notify Tenant that it disapproves of the initial working drawings within ten business days (or, in the case of resubmitted working drawings, within five business days) after the submission thereof, then Landlord shall be deemed to have approved the working drawings in question.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Landlord's Approval; Performance of Work</w:t>
      </w:r>
      <w:r>
        <w:rPr>
          <w:rFonts w:ascii="Times New Roman;sans-serif" w:hAnsi="Times New Roman;sans-serif"/>
          <w:b w:val="false"/>
          <w:color w:val="000000"/>
          <w:sz w:val="24"/>
        </w:rPr>
        <w:t>. If any of Tenant's proposed construction work will affect the Building's Structure or the Building's Systems, then the working drawings pertaining thereto must be approved by the Building's engineer of record. Landlord's approval of such working drawings shall not be unreasonably withheld, provided that (1) they comply with all Laws, (2) the improvements depicted thereon do not adversely affect (in the reasonable discretion of Landlord) the Building's Structure or the Building's Systems (including the Building's restrooms or mechanical rooms), the exterior appearance of the Building, or the appearance of the Building's common areas or elevator lobby areas, (3) such working drawings are sufficiently detailed to allow construction of the improvements in a good and workmanlike manner, and (4) the improvements depicted thereon conform to the rules and regulations promulgated from time to time by Landlord for the construction of tenant improvements (a copy of which has been delivered to Tenant). As used herein, "</w:t>
      </w:r>
      <w:r>
        <w:rPr>
          <w:rFonts w:ascii="Times New Roman;sans-serif" w:hAnsi="Times New Roman;sans-serif"/>
          <w:b/>
          <w:color w:val="000000"/>
          <w:sz w:val="24"/>
          <w:u w:val="single"/>
        </w:rPr>
        <w:t>Working Drawings</w:t>
      </w:r>
      <w:r>
        <w:rPr>
          <w:rFonts w:ascii="Times New Roman;sans-serif" w:hAnsi="Times New Roman;sans-serif"/>
          <w:b w:val="false"/>
          <w:color w:val="000000"/>
          <w:sz w:val="24"/>
        </w:rPr>
        <w:t>" means the final working drawings approved by Landlord, as amended from time to time by any approved changes thereto, and "</w:t>
      </w:r>
      <w:r>
        <w:rPr>
          <w:rFonts w:ascii="Times New Roman;sans-serif" w:hAnsi="Times New Roman;sans-serif"/>
          <w:b/>
          <w:color w:val="000000"/>
          <w:sz w:val="24"/>
          <w:u w:val="single"/>
        </w:rPr>
        <w:t>Work</w:t>
      </w:r>
      <w:r>
        <w:rPr>
          <w:rFonts w:ascii="Times New Roman;sans-serif" w:hAnsi="Times New Roman;sans-serif"/>
          <w:b w:val="false"/>
          <w:color w:val="000000"/>
          <w:sz w:val="24"/>
        </w:rPr>
        <w:t>" means all improvements to be constructed in accordance with and as indicated on the Working Drawings, together with any work required by governmental authorities to be made to other areas of the Building as a result of the improvements indicated by the Working Drawings. Landlord's approval of the Working Drawings shall not be a representation or warranty of Landlord that such drawings are adequate for any use or comply with any Law, but shall merely be the consent of Landlord thereto. Tenant shall, at Landlord's request, sign the Working Drawings to evidence its review and approval thereof. After the Working Drawings have been approved, Tenant shall cause the Work to be performed in accordance with the Working Drawings.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Contractors; Performance of Work</w:t>
      </w:r>
      <w:r>
        <w:rPr>
          <w:rFonts w:ascii="Times New Roman;sans-serif" w:hAnsi="Times New Roman;sans-serif"/>
          <w:b w:val="false"/>
          <w:color w:val="000000"/>
          <w:sz w:val="24"/>
        </w:rPr>
        <w:t>. The Work shall be performed only by licensed contractors and subcontractors approved in writing by Landlord, which approval shall not be unreasonably withheld. All contractors and subcontractors shall be required to procure and maintain insurance against such risks, in such amounts, and with such companies as Landlord may reasonably require. Certificates of such insurance, with paid receipts therefor, must be received by Landlord before the Work is commenced. The Work shall be performed in a good and workmanlike manner free of defects, shall conform strictly with the Working Drawings, and shall be performed in such a manner and at such times as and not to interfere with or delay Landlord's other contractors, the operation of the Building, and the occupancy thereof by other tenants. All contractors and subcontractors shall contact Landlord and schedule time periods during which they may use Building facilities in connection with the Work (e.g., elevators, excess electricity, etc.).</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88925"/>
                <wp:effectExtent l="0" t="0" r="0" b="0"/>
                <wp:wrapNone/>
                <wp:docPr id="104" name="Frame10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Construction Contracts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Tenant's General Contractor</w:t>
      </w:r>
      <w:r>
        <w:rPr>
          <w:rFonts w:ascii="Times New Roman;sans-serif" w:hAnsi="Times New Roman;sans-serif"/>
          <w:b w:val="false"/>
          <w:color w:val="000000"/>
          <w:sz w:val="24"/>
        </w:rPr>
        <w:t>. Tenant shall enter into a construction contract with a general contractor selected by Tenant and approved by Landlord in a form acceptable to Tenant's representative for the Work, which shall comply with the provisions of this Section 5 and provide for, among other things, (1) a one-year warranty for all defective Work; (2) a requirement that Tenant's Contractor maintain general commercial liability insurance of not less than a combined single limit of $5,000,000, naming Landlord, Landlord's property management company, Landlord's asset management company, Landlord's Mortgagee, Tenant, and each of their respective Affiliates as additional insureds; (3) a requirement that the contractor perform the Work in substantial accordance with the Space Plans and the Working Drawings and in a good and workmanlike manner; (4) a requirement that the contractor is responsible for daily cleanup work and final clean up (including removal of debris); and (5) those items described in Section 5(b) (collectively, the "</w:t>
      </w:r>
      <w:r>
        <w:rPr>
          <w:rFonts w:ascii="Times New Roman;sans-serif" w:hAnsi="Times New Roman;sans-serif"/>
          <w:b/>
          <w:color w:val="000000"/>
          <w:sz w:val="24"/>
          <w:u w:val="single"/>
        </w:rPr>
        <w:t>Approval Criteria</w:t>
      </w:r>
      <w:r>
        <w:rPr>
          <w:rFonts w:ascii="Times New Roman;sans-serif" w:hAnsi="Times New Roman;sans-serif"/>
          <w:b w:val="false"/>
          <w:color w:val="000000"/>
          <w:sz w:val="24"/>
        </w:rPr>
        <w:t>"). Landlord shall have three business days to notify Tenant whether it approves the proposed construction agreements. If Landlord disapproves of the proposed construction agreements, then it shall specify in reasonable detail the reasons for such disapproval, in which case Tenant shall revise the proposed construction agreements to correct the objections and resubmit them to Landlord within two business days after Landlord notifies Tenant of its objections thereto, following which Landlord shall have two business days to notify Tenant whether it approves the revised construction agreements. If Landlord fails to notify Tenant that it disapproves of the construction agreements within three business days after the initial construction agreements or two business days after the revised construction agreements (as the case may be) are delivered to Landlord, then Landlord shall be deemed to have approved the construction agreements.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All Construction Contracts</w:t>
      </w:r>
      <w:r>
        <w:rPr>
          <w:rFonts w:ascii="Times New Roman;sans-serif" w:hAnsi="Times New Roman;sans-serif"/>
          <w:b w:val="false"/>
          <w:color w:val="000000"/>
          <w:sz w:val="24"/>
        </w:rPr>
        <w:t>. Unless otherwise agreed in writing by Landlord and Tenant, each of Tenant's construction contracts shall: (1) provide a schedule and sequence of construction activities and completion reasonably acceptable to Landlord, (2) be in a contract form that satisfies the Approval Criteria, (3) require the contractor and each subcontractor to name Landlord, Landlord's property management company, Landlord's asset management company, and Tenant as additional insured on such contractor's insurance maintained in connection with the construction of the Work, (4) be assignable following an Event of Default by Tenant under this Lease to Landlord and Landlord's Mortgagees, and (5) contain at least a one-year warranty for all workmanship and materials.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Change Orders</w:t>
      </w:r>
      <w:r>
        <w:rPr>
          <w:rFonts w:ascii="Times New Roman;sans-serif" w:hAnsi="Times New Roman;sans-serif"/>
          <w:b w:val="false"/>
          <w:color w:val="000000"/>
          <w:sz w:val="24"/>
        </w:rPr>
        <w:t xml:space="preserve">. Tenant may initiate changes in the Work. Each such change must receive the prior written approval of Landlord, such approval not to be unreasonably withheld or delayed; however, (a) if such requested change would adversely affect (in the reasonable discretion of Landlord) (1) the Building's Structure or the Building's Systems (including the Building's restrooms or mechanical rooms), (2) the exterior appearance of the Building, or (3) the appearance of the Building's common areas or elevator lobby areas, or (b) if any such requested change might delay the Commencement Date, Landlord may withhold its consent in its sole and absolute discretion. Tenant shall, upon completion of the Work, furnish Landlord with an accurate architectural "as-built" plan of the Work as constructed, which plan shall be incorporated into this Exhibit D by this reference for all purposes. If Tenant requests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88925"/>
                <wp:effectExtent l="0" t="0" r="0" b="0"/>
                <wp:wrapNone/>
                <wp:docPr id="105" name="Frame10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changes to the Work described in the Space Plans or the Working Drawings, then such increased costs and any additional design costs incurred in connection therewith as the result of any such change shall be added to the Total Construction Costs.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 As used herein "</w:t>
      </w:r>
      <w:r>
        <w:rPr>
          <w:rFonts w:ascii="Times New Roman;sans-serif" w:hAnsi="Times New Roman;sans-serif"/>
          <w:b/>
          <w:color w:val="000000"/>
          <w:sz w:val="24"/>
          <w:u w:val="single"/>
        </w:rPr>
        <w:t>Substantial Completion</w:t>
      </w:r>
      <w:r>
        <w:rPr>
          <w:rFonts w:ascii="Times New Roman;sans-serif" w:hAnsi="Times New Roman;sans-serif"/>
          <w:b w:val="false"/>
          <w:color w:val="000000"/>
          <w:sz w:val="24"/>
        </w:rPr>
        <w:t>," "</w:t>
      </w:r>
      <w:r>
        <w:rPr>
          <w:rFonts w:ascii="Times New Roman;sans-serif" w:hAnsi="Times New Roman;sans-serif"/>
          <w:b/>
          <w:color w:val="000000"/>
          <w:sz w:val="24"/>
          <w:u w:val="single"/>
        </w:rPr>
        <w:t>Substantially Completed</w:t>
      </w:r>
      <w:r>
        <w:rPr>
          <w:rFonts w:ascii="Times New Roman;sans-serif" w:hAnsi="Times New Roman;sans-serif"/>
          <w:b w:val="false"/>
          <w:color w:val="000000"/>
          <w:sz w:val="24"/>
        </w:rPr>
        <w:t>," and any derivations thereof mean the Work in the Premises is substantially completed (as reasonably determined by Landlord) in accordance with the Working Drawings. Substantial Completion shall have occurred even though minor details of construction, decoration, landscaping and mechanical adjustments remain to be completed.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Walk-Through; Punchlist</w:t>
      </w:r>
      <w:r>
        <w:rPr>
          <w:rFonts w:ascii="Times New Roman;sans-serif" w:hAnsi="Times New Roman;sans-serif"/>
          <w:b w:val="false"/>
          <w:color w:val="000000"/>
          <w:sz w:val="24"/>
        </w:rPr>
        <w:t>. When Tenant considers the Work in the Premises to be Substantially Completed, Tenant will notify Landlord and within three business days thereafter, Landlord's representative and Tenant's representative shall conduct a walk-through of the Premises and identify any necessary touch-up work, repairs and minor completion items that are necessary for final completion of the Work. Neither Landlord's representative nor Tenant's representative shall unreasonably withhold his or her agreement on punchlist items. Tenant shall use reasonable efforts to cause the contractor performing the Work to complete all punchlist items within 30 days after agreement thereon.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Excess Costs</w:t>
      </w:r>
      <w:r>
        <w:rPr>
          <w:rFonts w:ascii="Times New Roman;sans-serif" w:hAnsi="Times New Roman;sans-serif"/>
          <w:b w:val="false"/>
          <w:color w:val="000000"/>
          <w:sz w:val="24"/>
        </w:rPr>
        <w:t>. The entire cost of performing the Work (including design of and space planning for the Work and preparation of the Working Drawings and the final "as-built" plan of the Work, costs of construction labor and materials, electrical usage during construction, additional janitorial services, general tenant signage, related taxes and insurance costs, licenses, permits, certifications, surveys and other approvals required by Law, and the construction supervision fee referenced in Section 11 of this Exhibit, all of which costs are herein collectively called the "</w:t>
      </w:r>
      <w:r>
        <w:rPr>
          <w:rFonts w:ascii="Times New Roman;sans-serif" w:hAnsi="Times New Roman;sans-serif"/>
          <w:b/>
          <w:color w:val="000000"/>
          <w:sz w:val="24"/>
          <w:u w:val="single"/>
        </w:rPr>
        <w:t>Total Construction Costs</w:t>
      </w:r>
      <w:r>
        <w:rPr>
          <w:rFonts w:ascii="Times New Roman;sans-serif" w:hAnsi="Times New Roman;sans-serif"/>
          <w:b w:val="false"/>
          <w:color w:val="000000"/>
          <w:sz w:val="24"/>
        </w:rPr>
        <w:t>") in excess of the Construction Allowance (hereinafter defined) shall be paid by Tenant. Upon approval of the Working Drawings and selection of a contractor, Tenant shall promptly execute a work order agreement which identifies such drawings and itemizes the Total Construction Costs and sets forth the Construction Allowance.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Construction Allowance</w:t>
      </w:r>
      <w:r>
        <w:rPr>
          <w:rFonts w:ascii="Times New Roman;sans-serif" w:hAnsi="Times New Roman;sans-serif"/>
          <w:b w:val="false"/>
          <w:color w:val="000000"/>
          <w:sz w:val="24"/>
        </w:rPr>
        <w:t>. Landlord shall provide to Tenant a construction allowance not to exceed $12.00 per rentable square foot in the Premises (the "</w:t>
      </w:r>
      <w:r>
        <w:rPr>
          <w:rFonts w:ascii="Times New Roman;sans-serif" w:hAnsi="Times New Roman;sans-serif"/>
          <w:b/>
          <w:color w:val="000000"/>
          <w:sz w:val="24"/>
          <w:u w:val="single"/>
        </w:rPr>
        <w:t>Construction Allowance</w:t>
      </w:r>
      <w:r>
        <w:rPr>
          <w:rFonts w:ascii="Times New Roman;sans-serif" w:hAnsi="Times New Roman;sans-serif"/>
          <w:b w:val="false"/>
          <w:color w:val="000000"/>
          <w:sz w:val="24"/>
        </w:rPr>
        <w:t xml:space="preserve">") to be applied toward the Total Construction Costs, as adjusted for any changes to the Work. No advance of the Construction Allowance shall be made by Landlord until Tenant has first paid to the contractor from its own funds (and provided reasonable evidence thereof to Landlord) the anticipated amount by which the projected Total Construction Costs exceed the amount of the Construction Allowance. Thereafter, Landlord shall pay to Tenant the Construction Allowance in multiple disbursements (but not more than once in any calendar month) following the receipt by Landlord of the following items: (a) a request for payment, (b) final or partial lien waivers, as the case may be, from all persons performing work or supplying or fabricating materials for the Work, fully executed, acknowledged and in recordable form, and (c) the Architect's certification that the Work for which reimbursement has been requested has been finally completed, including (with respect to the last application for payment only) any punch-list items, on the appropriate AIA form or another form approved by Landlord, and, with respect to the disbursement of the last 20% of the Construction Allowance, (1) the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88925"/>
                <wp:effectExtent l="0" t="0" r="0" b="0"/>
                <wp:wrapNone/>
                <wp:docPr id="106" name="Frame10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permanent certificate of occupancy issued for the Premises, (2) Tenant's occupancy of the Premises, (3) delivery of the architectural "as-built plan for the Work as constructed (as set forth above) to Landlord's construction representative (set forth below), and (4) an estoppel certificate confirming such factual matters as Landlord or Landlord's Mortgagee may reasonably request (collectively, a "</w:t>
      </w:r>
      <w:r>
        <w:rPr>
          <w:rFonts w:ascii="Times New Roman;sans-serif" w:hAnsi="Times New Roman;sans-serif"/>
          <w:b/>
          <w:color w:val="000000"/>
          <w:sz w:val="24"/>
          <w:u w:val="single"/>
        </w:rPr>
        <w:t>Completed Application for Payment</w:t>
      </w:r>
      <w:r>
        <w:rPr>
          <w:rFonts w:ascii="Times New Roman;sans-serif" w:hAnsi="Times New Roman;sans-serif"/>
          <w:b w:val="false"/>
          <w:color w:val="000000"/>
          <w:sz w:val="24"/>
        </w:rPr>
        <w:t>"). Landlord shall pay the amount requested in the applicable Completed Application for Payment to Tenant within 30 days following Tenant's submission of the Completed Application for Payment. If, however, the Completed Application for Payment is incomplete or incorrect, Landlord's payment of such request shall be deferred until 30 days following Landlord's receipt of the Completed Application for Payment. Notwithstanding anything to the contrary contained in this Exhibit, Landlord shall not be obligated to make any disbursement of the Construction Allowance during the pendency of any of the following: (A) Landlord has received written notice of any unpaid claims relating to any portion of the Work or materials in connection therewith, other than claims which will be paid in full from such disbursement, (B) there is an unbonded lien outstanding against the Building or the Premises or Tenant's interest therein by reason of work done, or claimed to have been done, or materials supplied or specifically fabricated, claimed to have been supplied or specifically fabricated, to or for Tenant or the Premises, (C) the conditions to the advance of the Construction Allowance are not satisfied, or (D) an Event of Default by Tenant exists The Construction Allowance must be used (that is, the Work must be fully complete and the Construction Allowance disbursed) within six months following the Commencement Date or shall be deemed forfeited with no further obligation by Landlord with respect thereto, time being of the essence with respect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Construction Management</w:t>
      </w:r>
      <w:r>
        <w:rPr>
          <w:rFonts w:ascii="Times New Roman;sans-serif" w:hAnsi="Times New Roman;sans-serif"/>
          <w:b w:val="false"/>
          <w:color w:val="000000"/>
          <w:sz w:val="24"/>
        </w:rPr>
        <w:t>. Landlord or its Affiliate or agent shall supervise the Work and coordinate the relationship between the Work, the Building and the Building's Systems. In consideration for Landlord's construction supervision services, Landlord shall deduct from the Construction Allowance a construction supervision fee equal to One Hundred Thousand Dollars ($100,000.00).</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Construction Representatives</w:t>
      </w:r>
      <w:r>
        <w:rPr>
          <w:rFonts w:ascii="Times New Roman;sans-serif" w:hAnsi="Times New Roman;sans-serif"/>
          <w:b w:val="false"/>
          <w:color w:val="000000"/>
          <w:sz w:val="24"/>
        </w:rPr>
        <w:t xml:space="preserve">. Landlord and Tenant shall each provide written notice to the other within five days following the Lease Date of Landlord's and Tenant's representatives for coordination of construction and approval of change orders, provided that either party may change its representative upon written notice to the other.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Miscellaneous</w:t>
      </w:r>
      <w:r>
        <w:rPr>
          <w:rFonts w:ascii="Times New Roman;sans-serif" w:hAnsi="Times New Roman;sans-serif"/>
          <w:b w:val="false"/>
          <w:color w:val="000000"/>
          <w:sz w:val="24"/>
        </w:rPr>
        <w:t>. To the extent not inconsistent with this Exhibit, Sections 8(a) and 22 of this Lease shall govern the performance of the Work and Landlord's and Tenant's respective rights and obligations regarding the improvements installed pursuant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88925"/>
                <wp:effectExtent l="0" t="0" r="0" b="0"/>
                <wp:wrapNone/>
                <wp:docPr id="107" name="Frame10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E</w:t>
        <w:br/>
        <w:br/>
        <w:t>CONFIRMATION OF COMMENCEMENT DATE</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 20__</w:t>
      </w:r>
    </w:p>
    <w:p>
      <w:pPr>
        <w:pStyle w:val="TextBody"/>
        <w:bidi w:val="0"/>
        <w:spacing w:lineRule="auto" w:line="288"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br/>
        <w:t>______________________________</w:t>
        <w:br/>
        <w:t>______________________________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Re:    Lease Agreement (the "</w:t>
      </w:r>
      <w:r>
        <w:rPr>
          <w:rFonts w:ascii="Times New Roman;sans-serif" w:hAnsi="Times New Roman;sans-serif"/>
          <w:b/>
          <w:color w:val="000000"/>
          <w:sz w:val="24"/>
          <w:u w:val="single"/>
        </w:rPr>
        <w:t>Lease</w:t>
      </w:r>
      <w:r>
        <w:rPr>
          <w:rFonts w:ascii="Times New Roman;sans-serif" w:hAnsi="Times New Roman;sans-serif"/>
          <w:b w:val="false"/>
          <w:color w:val="000000"/>
          <w:sz w:val="24"/>
        </w:rPr>
        <w:t>") dated September 30, 2024, between CH REALTY IX-NDG ATLANTA FREEMAN INTERMODAL, L.P., a Delaware limited partnership ("</w:t>
      </w:r>
      <w:r>
        <w:rPr>
          <w:rFonts w:ascii="Times New Roman;sans-serif" w:hAnsi="Times New Roman;sans-serif"/>
          <w:b/>
          <w:color w:val="000000"/>
          <w:sz w:val="24"/>
          <w:u w:val="single"/>
        </w:rPr>
        <w:t>Landlord</w:t>
      </w:r>
      <w:r>
        <w:rPr>
          <w:rFonts w:ascii="Times New Roman;sans-serif" w:hAnsi="Times New Roman;sans-serif"/>
          <w:b w:val="false"/>
          <w:color w:val="000000"/>
          <w:sz w:val="24"/>
        </w:rPr>
        <w:t>"), and HF FOODS GROUP, INC., a Delaware corporation ("</w:t>
      </w:r>
      <w:r>
        <w:rPr>
          <w:rFonts w:ascii="Times New Roman;sans-serif" w:hAnsi="Times New Roman;sans-serif"/>
          <w:b/>
          <w:color w:val="000000"/>
          <w:sz w:val="24"/>
          <w:u w:val="single"/>
        </w:rPr>
        <w:t>Tenant</w:t>
      </w:r>
      <w:r>
        <w:rPr>
          <w:rFonts w:ascii="Times New Roman;sans-serif" w:hAnsi="Times New Roman;sans-serif"/>
          <w:b w:val="false"/>
          <w:color w:val="000000"/>
          <w:sz w:val="24"/>
        </w:rPr>
        <w:t>"). Capitalized terms used herein but not defined shall be given the meanings assigned to them in the Lease.</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240" w:after="283"/>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Landlord and Tenant agree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Condition of Premises</w:t>
      </w:r>
      <w:r>
        <w:rPr>
          <w:rFonts w:ascii="Times New Roman;sans-serif" w:hAnsi="Times New Roman;sans-serif"/>
          <w:b w:val="false"/>
          <w:color w:val="000000"/>
          <w:sz w:val="24"/>
        </w:rPr>
        <w:t xml:space="preserve">. Tenant has accepted possession of the Premises pursuant to the Lease. Any improvements required by the terms of the Lease to be made by Landlord have been completed to the full and complete satisfaction of Tenant in all respects except for the punchlist items described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color w:val="000000"/>
          <w:sz w:val="24"/>
          <w:u w:val="single"/>
        </w:rPr>
        <w:t>Punchlist Items</w:t>
      </w:r>
      <w:r>
        <w:rPr>
          <w:rFonts w:ascii="Times New Roman;sans-serif" w:hAnsi="Times New Roman;sans-serif"/>
          <w:b w:val="false"/>
          <w:color w:val="000000"/>
          <w:sz w:val="24"/>
        </w:rPr>
        <w:t>"), and except for such Punchlist Items, Landlord has fulfilled all of its duties under the Lease with respect to such initial tenant improvements. Furthermore, Tenant acknowledges that the Premises are suitable for the Permitted Use.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Commencement Date</w:t>
      </w:r>
      <w:r>
        <w:rPr>
          <w:rFonts w:ascii="Times New Roman;sans-serif" w:hAnsi="Times New Roman;sans-serif"/>
          <w:b w:val="false"/>
          <w:color w:val="000000"/>
          <w:sz w:val="24"/>
        </w:rPr>
        <w:t>. The Commencement Date of the Lease is __________, 2024.</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Expiration Date</w:t>
      </w:r>
      <w:r>
        <w:rPr>
          <w:rFonts w:ascii="Times New Roman;sans-serif" w:hAnsi="Times New Roman;sans-serif"/>
          <w:b w:val="false"/>
          <w:color w:val="000000"/>
          <w:sz w:val="24"/>
        </w:rPr>
        <w:t>. The Term is scheduled to expire on the last day of the 125th full calendar month of the Term, which date is ______________, 20___.</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Contact Person</w:t>
      </w:r>
      <w:r>
        <w:rPr>
          <w:rFonts w:ascii="Times New Roman;sans-serif" w:hAnsi="Times New Roman;sans-serif"/>
          <w:b w:val="false"/>
          <w:color w:val="000000"/>
          <w:sz w:val="24"/>
        </w:rPr>
        <w:t>. Tenant's contact person in the Premises is: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w:t>
        <w:br/>
        <w:t>_____________________________</w:t>
        <w:br/>
        <w:t>_____________________________</w:t>
        <w:br/>
        <w:t>Attention:____________________</w:t>
        <w:br/>
        <w:t xml:space="preserve">Telephone:____________________ </w:t>
        <w:br/>
        <w:t>Email: ____________</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Ratification</w:t>
      </w:r>
      <w:r>
        <w:rPr>
          <w:rFonts w:ascii="Times New Roman;sans-serif" w:hAnsi="Times New Roman;sans-serif"/>
          <w:b w:val="false"/>
          <w:color w:val="000000"/>
          <w:sz w:val="24"/>
        </w:rPr>
        <w:t xml:space="preserve">. Tenant hereby ratifies and confirms its obligations under the Lease, and represents and warrants to Landlord that it has no defenses thereto. Additionally, Tenant further confirms and ratifies that, as of the date hereof, (a) the Lease is and remains in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88925"/>
                <wp:effectExtent l="0" t="0" r="0" b="0"/>
                <wp:wrapNone/>
                <wp:docPr id="108" name="Frame10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good standing and in full force and effect, and (b) Tenant has no claims, counterclaims, set-offs or defenses against Landlord arising out of the Lease or in any way relating thereto or arising out of any other transaction between Landlord and Tenant.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Binding Effect; Governing Law</w:t>
      </w:r>
      <w:r>
        <w:rPr>
          <w:rFonts w:ascii="Times New Roman;sans-serif" w:hAnsi="Times New Roman;sans-serif"/>
          <w:b w:val="false"/>
          <w:color w:val="000000"/>
          <w:sz w:val="24"/>
        </w:rPr>
        <w:t>. Except as modified hereby, the Lease shall remain in full effect and this letter shall be binding upon Landlord and Tenant and their respective successors and assigns. If any inconsistency exists or arises between the terms of this letter and the terms of the Lease, the terms of this letter shall prevail. This letter shall be governed by the laws of the state in which the Premises are located.</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Please indicate your agreement to the above matters by signing this letter in the space indicated below and returning an executed original to us.</w:t>
      </w:r>
    </w:p>
    <w:p>
      <w:pPr>
        <w:pStyle w:val="TextBody"/>
        <w:bidi w:val="0"/>
        <w:spacing w:lineRule="auto" w:line="288" w:before="24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88" w:before="0" w:after="0"/>
        <w:jc w:val="left"/>
        <w:rPr/>
      </w:pPr>
      <w:r>
        <w:rPr>
          <w:rFonts w:ascii="Times New Roman;sans-serif" w:hAnsi="Times New Roman;sans-serif"/>
          <w:b/>
          <w:color w:val="000000"/>
          <w:sz w:val="24"/>
        </w:rPr>
        <w:t>CH REALTY IX-NDG ATLANTA FREEMAN INTERMODAL, L.P.</w:t>
      </w:r>
      <w:r>
        <w:rPr>
          <w:rFonts w:ascii="Times New Roman;sans-serif" w:hAnsi="Times New Roman;sans-serif"/>
          <w:b w:val="false"/>
          <w:color w:val="000000"/>
          <w:sz w:val="24"/>
        </w:rPr>
        <w:t>, a Delaware limited partnership</w:t>
      </w:r>
    </w:p>
    <w:p>
      <w:pPr>
        <w:pStyle w:val="TextBody"/>
        <w:bidi w:val="0"/>
        <w:spacing w:lineRule="auto" w:line="288" w:before="0" w:after="0"/>
        <w:jc w:val="left"/>
        <w:rPr/>
      </w:pPr>
      <w:r>
        <w:rPr>
          <w:rFonts w:ascii="Times New Roman;sans-serif" w:hAnsi="Times New Roman;sans-serif"/>
          <w:b w:val="false"/>
          <w:color w:val="000000"/>
          <w:sz w:val="24"/>
        </w:rPr>
        <w:t xml:space="preserve">By: 20 West Industrial GP, LLC, </w:t>
        <w:br/>
        <w:t xml:space="preserve">a Georgia limited liability company, </w:t>
        <w:br/>
        <w:t>its general partner</w:t>
        <w:br/>
        <w:br/>
        <w:t>By:     </w:t>
      </w:r>
      <w:r>
        <w:rPr>
          <w:color w:val="000000"/>
          <w:u w:val="single"/>
        </w:rPr>
        <w:t>    </w:t>
      </w:r>
      <w:r>
        <w:rPr>
          <w:rFonts w:ascii="Times New Roman;sans-serif" w:hAnsi="Times New Roman;sans-serif"/>
          <w:b w:val="false"/>
          <w:color w:val="000000"/>
          <w:sz w:val="24"/>
          <w:u w:val="single"/>
        </w:rPr>
        <w:br/>
      </w:r>
      <w:r>
        <w:rPr>
          <w:color w:val="000000"/>
        </w:rPr>
        <w:t>    </w:t>
      </w: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br/>
      </w:r>
      <w:r>
        <w:rPr>
          <w:color w:val="000000"/>
        </w:rPr>
        <w:t>    </w:t>
      </w:r>
      <w:r>
        <w:rPr>
          <w:rFonts w:ascii="Times New Roman;sans-serif" w:hAnsi="Times New Roman;sans-serif"/>
          <w:b w:val="false"/>
          <w:color w:val="000000"/>
          <w:sz w:val="24"/>
        </w:rPr>
        <w:t xml:space="preserve">Title: </w:t>
      </w:r>
      <w:r>
        <w:rPr>
          <w:color w:val="000000"/>
          <w:u w:val="single"/>
        </w:rPr>
        <w:t>    </w:t>
      </w:r>
    </w:p>
    <w:p>
      <w:pPr>
        <w:pStyle w:val="TextBody"/>
        <w:bidi w:val="0"/>
        <w:spacing w:lineRule="auto" w:line="288"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Agreed and accepted:</w:t>
      </w:r>
    </w:p>
    <w:p>
      <w:pPr>
        <w:pStyle w:val="TextBody"/>
        <w:bidi w:val="0"/>
        <w:spacing w:lineRule="auto" w:line="288" w:before="240" w:after="240"/>
        <w:jc w:val="left"/>
        <w:rPr/>
      </w:pPr>
      <w:r>
        <w:rPr>
          <w:rFonts w:ascii="Times New Roman;sans-serif" w:hAnsi="Times New Roman;sans-serif"/>
          <w:b/>
          <w:color w:val="000000"/>
          <w:sz w:val="24"/>
        </w:rPr>
        <w:t>HF FOODS GROUP, INC.</w:t>
      </w:r>
      <w:r>
        <w:rPr>
          <w:rFonts w:ascii="Times New Roman;sans-serif" w:hAnsi="Times New Roman;sans-serif"/>
          <w:b w:val="false"/>
          <w:color w:val="000000"/>
          <w:sz w:val="24"/>
        </w:rPr>
        <w:t>, a Delaware corporation</w:t>
        <w:br/>
        <w:br/>
        <w:br/>
        <w:t>By:    </w:t>
      </w:r>
      <w:r>
        <w:rPr>
          <w:color w:val="000000"/>
          <w:u w:val="single"/>
        </w:rPr>
        <w:t>    </w:t>
      </w:r>
      <w:r>
        <w:rPr>
          <w:rFonts w:ascii="Times New Roman;sans-serif" w:hAnsi="Times New Roman;sans-serif"/>
          <w:b w:val="false"/>
          <w:color w:val="000000"/>
          <w:sz w:val="24"/>
          <w:u w:val="single"/>
        </w:rPr>
        <w:br/>
      </w:r>
      <w:r>
        <w:rPr>
          <w:color w:val="000000"/>
        </w:rPr>
        <w:t>    </w:t>
      </w: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br/>
      </w:r>
      <w:r>
        <w:rPr>
          <w:color w:val="000000"/>
        </w:rPr>
        <w:t>    </w:t>
      </w:r>
      <w:r>
        <w:rPr>
          <w:rFonts w:ascii="Times New Roman;sans-serif" w:hAnsi="Times New Roman;sans-serif"/>
          <w:b w:val="false"/>
          <w:color w:val="000000"/>
          <w:sz w:val="24"/>
        </w:rPr>
        <w:t xml:space="preserve">Title: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88925"/>
                <wp:effectExtent l="0" t="0" r="0" b="0"/>
                <wp:wrapNone/>
                <wp:docPr id="109" name="Frame10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br/>
        <w:br/>
        <w:t>PUNCHLIST ITEMS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Please insert any punchlist items that remain to be performed by Landlord. If no items are listed below by Tenant, none shall be deemed to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88925"/>
                <wp:effectExtent l="0" t="0" r="0" b="0"/>
                <wp:wrapNone/>
                <wp:docPr id="110" name="Frame10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F</w:t>
        <w:br/>
        <w:br/>
        <w:t>FORM OF TENANT ESTOPPEL CERTIFICATE</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The undersigned is the Tenant under the Lease (defined below) between _______________________, a ___________________, as Landlord, and the undersigned as Tenant, for the Premises on the __________ floor(s) of the building located at _____________________, __________ and commonly known as _______________________, and hereby certifies as follows:</w:t>
      </w:r>
    </w:p>
    <w:p>
      <w:pPr>
        <w:pStyle w:val="TextBody"/>
        <w:bidi w:val="0"/>
        <w:spacing w:lineRule="auto" w:line="288"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val="false"/>
          <w:color w:val="000000"/>
          <w:sz w:val="24"/>
        </w:rPr>
        <w:t xml:space="preserve">The Lease consists of the original Lease Agreement dated as of ___________, 20__ between Tenant and Landlord['s predecessor-in-interest] and the following amendments or modifications thereto (if none, please state "none"):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documents listed above are herein collectively referred to as the "Lease" and represent the entire agreement between the parties with respect to the Premises. All capitalized terms used herein but not defined shall be given the meaning assigned to them in the Lease.</w:t>
      </w:r>
    </w:p>
    <w:p>
      <w:pPr>
        <w:pStyle w:val="TextBody"/>
        <w:bidi w:val="0"/>
        <w:spacing w:lineRule="auto" w:line="288"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val="false"/>
          <w:color w:val="000000"/>
          <w:sz w:val="24"/>
        </w:rPr>
        <w:t>The Lease is in full force and effect and has not been modified, supplemented or amended in any way except as provided in Section 1 above.</w:t>
      </w:r>
    </w:p>
    <w:p>
      <w:pPr>
        <w:pStyle w:val="TextBody"/>
        <w:bidi w:val="0"/>
        <w:spacing w:lineRule="auto" w:line="288"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val="false"/>
          <w:color w:val="000000"/>
          <w:sz w:val="24"/>
        </w:rPr>
        <w:t>The Term commenced on __________________, 2024 and the Term expires, excluding any renewal options, on _____________________, 20___, and Tenant has no option to purchase all or any part of the Premises or the Building or, except as expressly set forth in the Lease, any option to terminate or cancel the Lease.</w:t>
      </w:r>
    </w:p>
    <w:p>
      <w:pPr>
        <w:pStyle w:val="TextBody"/>
        <w:bidi w:val="0"/>
        <w:spacing w:lineRule="auto" w:line="288"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val="false"/>
          <w:color w:val="000000"/>
          <w:sz w:val="24"/>
        </w:rPr>
        <w:t xml:space="preserve">Tenant currently occupies the Premises described in the Lease and Tenant has not transferred, assigned, or sublet any portion of the Premises nor entered into any license or concession agreements with respect thereto except as follows (if none, please state "none"): </w:t>
      </w:r>
    </w:p>
    <w:p>
      <w:pPr>
        <w:pStyle w:val="TextBody"/>
        <w:bidi w:val="0"/>
        <w:spacing w:lineRule="auto" w:line="288"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val="false"/>
          <w:color w:val="000000"/>
          <w:sz w:val="24"/>
        </w:rPr>
        <w:t>All monthly installments of Basic Rent, all Additional Rent and all monthly installments of estimated Additional Rent have been paid when due through ______________. The current monthly installment of Basic Rent is $____________.</w:t>
      </w:r>
    </w:p>
    <w:p>
      <w:pPr>
        <w:pStyle w:val="TextBody"/>
        <w:bidi w:val="0"/>
        <w:spacing w:lineRule="auto" w:line="288"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val="false"/>
          <w:color w:val="000000"/>
          <w:sz w:val="24"/>
        </w:rPr>
        <w:t>All conditions of the Lease to be performed by Landlord necessary to the enforceability of the Lease have been satisfied and Landlord is not in default thereunder. In addition, Tenant has not delivered any notice to Landlord regarding a default by Landlord thereunder.</w:t>
      </w:r>
    </w:p>
    <w:p>
      <w:pPr>
        <w:pStyle w:val="TextBody"/>
        <w:bidi w:val="0"/>
        <w:spacing w:lineRule="auto" w:line="288"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val="false"/>
          <w:color w:val="000000"/>
          <w:sz w:val="24"/>
        </w:rPr>
        <w:t>As of the date hereof, there are no existing defenses or offsets, or, to the undersigned's knowledge, claims or any basis for a claim, that the undersigned has against Landlord and no event has occurred and no condition exists, which, with the giving of notice or the passage of time, or both, will constitute a default under the Lease.</w:t>
      </w:r>
    </w:p>
    <w:p>
      <w:pPr>
        <w:pStyle w:val="TextBody"/>
        <w:bidi w:val="0"/>
        <w:spacing w:lineRule="auto" w:line="288"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val="false"/>
          <w:color w:val="000000"/>
          <w:sz w:val="24"/>
        </w:rPr>
        <w:t>No rental has been paid more than 30 days in advance and no security deposit has been delivered to Landlord except as provided in the Lease.</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88925"/>
                <wp:effectExtent l="0" t="0" r="0" b="0"/>
                <wp:wrapNone/>
                <wp:docPr id="111" name="Frame10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val="false"/>
          <w:color w:val="000000"/>
          <w:sz w:val="24"/>
        </w:rPr>
        <w:t>If Tenant is a corporation, partnership or other business entity, each individual executing this Estoppel Certificate on behalf of Tenant hereby represents and warrants that Tenant is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pStyle w:val="TextBody"/>
        <w:bidi w:val="0"/>
        <w:spacing w:lineRule="auto" w:line="288"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val="false"/>
          <w:color w:val="000000"/>
          <w:sz w:val="24"/>
        </w:rPr>
        <w:t>There are no actions pending against Tenant under any bankruptcy or similar laws of the United States or any state.</w:t>
      </w:r>
    </w:p>
    <w:p>
      <w:pPr>
        <w:pStyle w:val="TextBody"/>
        <w:bidi w:val="0"/>
        <w:spacing w:lineRule="auto" w:line="288"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val="false"/>
          <w:color w:val="000000"/>
          <w:sz w:val="24"/>
        </w:rPr>
        <w:t>Other than in compliance with all applicable laws and incidental to the ordinary course of the use of the Premises, the undersigned has not used or stored any hazardous substances in the Premises.</w:t>
      </w:r>
    </w:p>
    <w:p>
      <w:pPr>
        <w:pStyle w:val="TextBody"/>
        <w:bidi w:val="0"/>
        <w:spacing w:lineRule="auto" w:line="288"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val="false"/>
          <w:color w:val="000000"/>
          <w:sz w:val="24"/>
        </w:rPr>
        <w:t>Tenant is not itself, and is not directly or indirectly owned, controlled or supported by, a "Specially Designated National" or otherwise designated as a blocked person under any regulation of the Office of Foreign Assets Control, U.S. Department of Treasury (see: www.ustreas.gov/offices/enforcement/OFAC).</w:t>
      </w:r>
    </w:p>
    <w:p>
      <w:pPr>
        <w:pStyle w:val="TextBody"/>
        <w:bidi w:val="0"/>
        <w:spacing w:lineRule="auto" w:line="288"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val="false"/>
          <w:color w:val="000000"/>
          <w:sz w:val="24"/>
        </w:rPr>
        <w:t>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Executed as of ____________________, 20___.</w:t>
      </w:r>
    </w:p>
    <w:tbl>
      <w:tblPr>
        <w:tblW w:w="4605" w:type="dxa"/>
        <w:jc w:val="left"/>
        <w:tblInd w:w="0" w:type="dxa"/>
        <w:tblLayout w:type="fixed"/>
        <w:tblCellMar>
          <w:top w:w="28" w:type="dxa"/>
          <w:left w:w="28" w:type="dxa"/>
          <w:bottom w:w="28" w:type="dxa"/>
          <w:right w:w="28" w:type="dxa"/>
        </w:tblCellMar>
      </w:tblPr>
      <w:tblGrid>
        <w:gridCol w:w="423"/>
        <w:gridCol w:w="373"/>
        <w:gridCol w:w="374"/>
        <w:gridCol w:w="1006"/>
        <w:gridCol w:w="1006"/>
        <w:gridCol w:w="1423"/>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TENANT:</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br/>
            </w:r>
            <w:r>
              <w:rPr>
                <w:color w:val="000000"/>
                <w:u w:val="single"/>
              </w:rPr>
              <w:t>    </w:t>
            </w:r>
            <w:r>
              <w:rPr>
                <w:rFonts w:ascii="Times New Roman;sans-serif" w:hAnsi="Times New Roman;sans-serif"/>
                <w:b w:val="false"/>
                <w:color w:val="000000"/>
                <w:sz w:val="24"/>
                <w:u w:val="single"/>
              </w:rPr>
              <w:t>,</w:t>
              <w:br/>
            </w: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__________________________</w:t>
            </w:r>
          </w:p>
          <w:p>
            <w:pPr>
              <w:pStyle w:val="TableContents"/>
              <w:bidi w:val="0"/>
              <w:spacing w:lineRule="auto" w:line="288" w:before="0" w:after="0"/>
              <w:jc w:val="both"/>
              <w:rPr/>
            </w:pPr>
            <w:r>
              <w:rPr>
                <w:rFonts w:ascii="Times New Roman;sans-serif" w:hAnsi="Times New Roman;sans-serif"/>
                <w:b w:val="false"/>
                <w:color w:val="000000"/>
                <w:sz w:val="24"/>
              </w:rPr>
              <w:br/>
              <w:t>By:</w:t>
            </w:r>
            <w:r>
              <w:rPr>
                <w:color w:val="000000"/>
                <w:u w:val="single"/>
              </w:rPr>
              <w:t>    </w:t>
            </w:r>
            <w:r>
              <w:rPr>
                <w:rFonts w:ascii="Times New Roman;sans-serif" w:hAnsi="Times New Roman;sans-serif"/>
                <w:b w:val="false"/>
                <w:color w:val="000000"/>
                <w:sz w:val="24"/>
              </w:rPr>
              <w:br/>
              <w:t>Name:</w:t>
            </w:r>
            <w:r>
              <w:rPr>
                <w:color w:val="000000"/>
                <w:u w:val="single"/>
              </w:rPr>
              <w:t>    </w:t>
            </w:r>
            <w:r>
              <w:rPr>
                <w:rFonts w:ascii="Times New Roman;sans-serif" w:hAnsi="Times New Roman;sans-serif"/>
                <w:b w:val="false"/>
                <w:color w:val="000000"/>
                <w:sz w:val="24"/>
              </w:rPr>
              <w:br/>
              <w:t>Title:</w:t>
            </w:r>
            <w:r>
              <w:rPr>
                <w:color w:val="000000"/>
                <w:u w:val="single"/>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88925"/>
                <wp:effectExtent l="0" t="0" r="0" b="0"/>
                <wp:wrapNone/>
                <wp:docPr id="112" name="Frame11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G</w:t>
        <w:br/>
        <w:br/>
        <w:t>RENEWAL OPTIONS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Provided no Event of Default exists and Tenant is occupying the entire Premises at the time of such election, Tenant may renew this Lease for three additional periods of five years each, by delivering written notice of the exercise thereof to Landlord not earlier than 12 months nor later than nine months before the expiration of the Term or applicable renewal thereof. The Basic Rent payable for each month during such extended Term shall be the greater of (1) the prevailing rental rate at the commencement of such extended Term, for renewals of space in buildings of equivalent quality, size, utility and location for Class A non-refrigerated warehouse space, with the length of the extended Term and the credit standing of Tenant to be taken into account, or (2) the Basic Rent for the last month of the Term or applicable renewal thereof plus four percent (4%) thereof (such greater amount referred to herein as the "</w:t>
      </w:r>
      <w:r>
        <w:rPr>
          <w:rFonts w:ascii="Times New Roman;sans-serif" w:hAnsi="Times New Roman;sans-serif"/>
          <w:b/>
          <w:color w:val="000000"/>
          <w:sz w:val="24"/>
          <w:u w:val="single"/>
        </w:rPr>
        <w:t>Prevailing Rental Rate</w:t>
      </w:r>
      <w:r>
        <w:rPr>
          <w:rFonts w:ascii="Times New Roman;sans-serif" w:hAnsi="Times New Roman;sans-serif"/>
          <w:b w:val="false"/>
          <w:color w:val="000000"/>
          <w:sz w:val="24"/>
        </w:rPr>
        <w:t>"). Within 30 days after receipt of Tenant's notice to renew, Landlord shall deliver to Tenant written notice of the Prevailing Rental Rate and shall advise Tenant of the required adjustment to Basic Rent, if any, and the other terms and conditions offered. Tenant shall, within ten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provided in this Lease, except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Basic Rent shall be adjusted to the Prevailing Rental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Except as set forth in this Exhibit, Tenant shall have no further renewal option unless expressly granted by Landlord in writing;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Landlord shall lease to Tenant the Premises in their then-current condition, and Landlord shall not provide to Tenant any allowances (e.g., moving allowance, construction allowance, and the like) or other tenant inducements.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Tenant rejects Landlord's determination of the Prevailing Rental Rate, or and timely notifies Landlord thereof, Tenant may, in its notice to Landlord, require that the determination of the Prevailing Rental Rate be made by brokers (and if Tenant makes such election, Tenant shall be deemed to have irrevocably renewed the Term, subject only to the determination of the Prevailing Rental Rate as provided below). In such event, within ten days thereafter, each party shall select a qualified commercial real estate broker with at least ten years experience in leasing property and buildings in the city or submarket in which the Premises are located. The two brokers shall give their opinion of prevailing rental rates within 20 days after their retention. In no event, however, shall the Basic Rent in the renewal term be less than the then current Basic Rent rate per rentable square foot in effect hereunder. In the event the opinions of the two brokers differ and, after good faith efforts over the succeeding 20-day period, they cannot mutually agree, the brokers shall immediately and jointly appoint a third broker with the qualifications specified above. This third broker shall immediately (within five days) choose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88925"/>
                <wp:effectExtent l="0" t="0" r="0" b="0"/>
                <wp:wrapNone/>
                <wp:docPr id="113" name="Frame11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either the determination of Landlord’s broker or Tenant’s broker and such choice of this third broker shall be final and binding on Landlord and Tenant. Each party shall pay its own costs for its real estate broker. Following the determination of the Prevailing Rental Rate by the brokers, the parties shall equally share the costs of any third broker. The parties shall immediately execute an amendment as set forth above. If Tenant fails to timely notify Landlord in writing that Tenant accepts or rejects Landlord's determination of the Prevailing Rental Rate, time being of the essence with respect thereto, Tenant's rights under this Exhibit shall terminate and Tenant shall have no right to renew this Lease.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Tenant's rights under this Exhibit shall terminate if (1) this Lease or Tenant's right to possession of the Premises is terminated, (2) Tenant assigns any of its interest in this Lease or sublets any portion of the Premises except to a Permitted Transferee, or (3) Tenant fails to timely exercise its option under this Exhibit, time being of the essence with respect to Tenant's exercise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88925"/>
                <wp:effectExtent l="0" t="0" r="0" b="0"/>
                <wp:wrapNone/>
                <wp:docPr id="114" name="Frame11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H</w:t>
        <w:br/>
        <w:br/>
        <w:t>RENT ABATEMENT PROVISIONS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Basic Rent shall be conditionally abated during the first 150 days of the Term. Commencing with the 151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day of the Term, Tenant shall make Basic Rent payments as otherwise provided in this Lease. Notwithstanding such abatement of Basic Rent (a) all other sums due under this Lease, including Additional Rent shall be payable as provided in this Lease, and (b) any increases in Basic Rent set forth in this Lease shall occur on the dates scheduled therefor.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abatement of Basic Rent provided for in this Exhibit is conditioned upon Tenant's full and timely performance of all of its obligations under this Lease. If at any time during the Term an Event of Default by Tenant occurs, then the abatement of Basic Rent provided for in this Exhibit shall immediately become void, and Tenant shall promptly pay to Landlord, in addition to all other amounts due to Landlord under this Lease, the full amount of all Basic Rent herein abated.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88925"/>
                <wp:effectExtent l="0" t="0" r="0" b="0"/>
                <wp:wrapNone/>
                <wp:docPr id="115" name="Frame11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I</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FORM OF SNDA</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[Follows this Page]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88925"/>
                <wp:effectExtent l="0" t="0" r="0" b="0"/>
                <wp:wrapNone/>
                <wp:docPr id="116" name="Frame11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before="0" w:after="0"/>
        <w:ind w:left="0" w:right="0" w:hanging="5760"/>
        <w:jc w:val="both"/>
        <w:rPr/>
      </w:pPr>
      <w:r>
        <w:rPr/>
      </w:r>
    </w:p>
    <w:p>
      <w:pPr>
        <w:pStyle w:val="TextBody"/>
        <w:bidi w:val="0"/>
        <w:spacing w:lineRule="auto" w:line="288" w:before="0" w:after="0"/>
        <w:ind w:left="0" w:right="0" w:hanging="5760"/>
        <w:jc w:val="both"/>
        <w:rPr>
          <w:color w:val="000000"/>
          <w:u w:val="single"/>
        </w:rPr>
      </w:pPr>
      <w:r>
        <w:rPr>
          <w:color w:val="000000"/>
          <w:u w:val="single"/>
        </w:rPr>
        <w:t>                    </w:t>
      </w:r>
    </w:p>
    <w:p>
      <w:pPr>
        <w:pStyle w:val="TextBody"/>
        <w:bidi w:val="0"/>
        <w:spacing w:lineRule="auto" w:line="288" w:before="0" w:after="0"/>
        <w:ind w:left="0" w:right="0" w:hanging="5760"/>
        <w:jc w:val="center"/>
        <w:rPr>
          <w:rFonts w:ascii="Times New Roman;sans-serif" w:hAnsi="Times New Roman;sans-serif"/>
          <w:b w:val="false"/>
          <w:color w:val="000000"/>
          <w:sz w:val="16"/>
        </w:rPr>
      </w:pPr>
      <w:r>
        <w:rPr>
          <w:rFonts w:ascii="Times New Roman;sans-serif" w:hAnsi="Times New Roman;sans-serif"/>
          <w:b w:val="false"/>
          <w:color w:val="000000"/>
          <w:sz w:val="16"/>
        </w:rPr>
        <w:t>Space Above This Line For Recorder’s Use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ID No: 19109600020, 19109700040, 19105000010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After recording return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SUBORDINATION, NON-DISTURBANCE</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AND ATTORNMENT AGREEMENT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Subordination, Non-Disturbance and Attornment Agreement (“Agreement”), is made and entered into as of the _____ day of ________________, 2024, by and among </w:t>
      </w:r>
      <w:r>
        <w:rPr>
          <w:rFonts w:ascii="Times New Roman;sans-serif" w:hAnsi="Times New Roman;sans-serif"/>
          <w:b/>
          <w:color w:val="000000"/>
          <w:sz w:val="24"/>
        </w:rPr>
        <w:t>HF FOODS GROUP, INC.</w:t>
      </w:r>
      <w:r>
        <w:rPr>
          <w:rFonts w:ascii="Times New Roman;sans-serif" w:hAnsi="Times New Roman;sans-serif"/>
          <w:b w:val="false"/>
          <w:color w:val="000000"/>
          <w:sz w:val="24"/>
        </w:rPr>
        <w:t>, a Delaware corporation (“</w:t>
      </w:r>
      <w:r>
        <w:rPr>
          <w:rFonts w:ascii="Times New Roman;sans-serif" w:hAnsi="Times New Roman;sans-serif"/>
          <w:b/>
          <w:color w:val="000000"/>
          <w:sz w:val="24"/>
        </w:rPr>
        <w:t>Tenant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CH REALTY IX-NDG I ATLANTA FREEMAN INTERMODAL, L.P.</w:t>
      </w:r>
      <w:r>
        <w:rPr>
          <w:rFonts w:ascii="Times New Roman;sans-serif" w:hAnsi="Times New Roman;sans-serif"/>
          <w:b w:val="false"/>
          <w:color w:val="000000"/>
          <w:sz w:val="24"/>
        </w:rPr>
        <w:t>, a Delaware limited partnership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PINNACLE BANK</w:t>
      </w:r>
      <w:r>
        <w:rPr>
          <w:rFonts w:ascii="Times New Roman;sans-serif" w:hAnsi="Times New Roman;sans-serif"/>
          <w:b w:val="false"/>
          <w:color w:val="000000"/>
          <w:sz w:val="24"/>
        </w:rPr>
        <w:t>, a Tennessee banking corporation, and its</w:t>
      </w:r>
      <w:r>
        <w:rPr>
          <w:color w:val="000000"/>
        </w:rPr>
        <w:t xml:space="preserve"> </w:t>
      </w:r>
      <w:r>
        <w:rPr>
          <w:rFonts w:ascii="Times New Roman;sans-serif" w:hAnsi="Times New Roman;sans-serif"/>
          <w:b w:val="false"/>
          <w:color w:val="000000"/>
          <w:sz w:val="24"/>
        </w:rPr>
        <w:t>successors or assigns (“</w:t>
      </w:r>
      <w:r>
        <w:rPr>
          <w:rFonts w:ascii="Times New Roman;sans-serif" w:hAnsi="Times New Roman;sans-serif"/>
          <w:b/>
          <w:color w:val="000000"/>
          <w:sz w:val="24"/>
        </w:rPr>
        <w:t>Lender</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 </w:t>
      </w:r>
      <w:r>
        <w:rPr>
          <w:rFonts w:ascii="Times New Roman;sans-serif" w:hAnsi="Times New Roman;sans-serif"/>
          <w:b w:val="false"/>
          <w:color w:val="000000"/>
          <w:sz w:val="24"/>
        </w:rPr>
        <w:t>Lender has made a loan(s) to Borrower (the “</w:t>
      </w:r>
      <w:r>
        <w:rPr>
          <w:rFonts w:ascii="Times New Roman;sans-serif" w:hAnsi="Times New Roman;sans-serif"/>
          <w:b/>
          <w:color w:val="000000"/>
          <w:sz w:val="24"/>
        </w:rPr>
        <w:t>Loan</w:t>
      </w:r>
      <w:r>
        <w:rPr>
          <w:color w:val="000000"/>
        </w:rPr>
        <w:t>”</w:t>
      </w:r>
      <w:r>
        <w:rPr>
          <w:rFonts w:ascii="Times New Roman;sans-serif" w:hAnsi="Times New Roman;sans-serif"/>
          <w:b w:val="false"/>
          <w:color w:val="000000"/>
          <w:sz w:val="24"/>
        </w:rPr>
        <w:t>) secured by among other things, a deed to secure debt (as modified from time to time, the “</w:t>
      </w:r>
      <w:r>
        <w:rPr>
          <w:rFonts w:ascii="Times New Roman;sans-serif" w:hAnsi="Times New Roman;sans-serif"/>
          <w:b/>
          <w:color w:val="000000"/>
          <w:sz w:val="24"/>
        </w:rPr>
        <w:t>Deed to Secure Debt</w:t>
      </w:r>
      <w:r>
        <w:rPr>
          <w:color w:val="000000"/>
        </w:rPr>
        <w:t>”</w:t>
      </w:r>
      <w:r>
        <w:rPr>
          <w:rFonts w:ascii="Times New Roman;sans-serif" w:hAnsi="Times New Roman;sans-serif"/>
          <w:b w:val="false"/>
          <w:color w:val="000000"/>
          <w:sz w:val="24"/>
        </w:rPr>
        <w:t xml:space="preserve">) wherein Borrower pledged real property situated in said county, being more particularly described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and incorporated herein by reference (the “</w:t>
      </w:r>
      <w:r>
        <w:rPr>
          <w:rFonts w:ascii="Times New Roman;sans-serif" w:hAnsi="Times New Roman;sans-serif"/>
          <w:b/>
          <w:color w:val="000000"/>
          <w:sz w:val="24"/>
        </w:rPr>
        <w:t>Property</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rPr>
        <w:t>Contemporaneously with the execution hereof, Borrower, as landlord, and Tenant are entering into a Lease of the Property (the Lease and all amendments thereto collectively being referred to as the “</w:t>
      </w:r>
      <w:r>
        <w:rPr>
          <w:rFonts w:ascii="Times New Roman;sans-serif" w:hAnsi="Times New Roman;sans-serif"/>
          <w:b/>
          <w:color w:val="000000"/>
          <w:sz w:val="24"/>
        </w:rPr>
        <w:t>Lease</w:t>
      </w:r>
      <w:r>
        <w:rPr>
          <w:color w:val="000000"/>
        </w:rPr>
        <w:t>”</w:t>
      </w:r>
      <w:r>
        <w:rPr>
          <w:rFonts w:ascii="Times New Roman;sans-serif" w:hAnsi="Times New Roman;sans-serif"/>
          <w:b w:val="false"/>
          <w:color w:val="000000"/>
          <w:sz w:val="24"/>
        </w:rPr>
        <w:t>), a copy of which has been provided to the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rPr>
        <w:t>Lender and Tenant desire to confirm their understandings with respect to the Lease and the Deed to Secure Debt.</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88925"/>
                <wp:effectExtent l="0" t="0" r="0" b="0"/>
                <wp:wrapNone/>
                <wp:docPr id="117" name="Frame11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the mutual covenants and agreements herein contained, and in consideration of the sum of One Dollar ($1.00) and other good and valuable consideration, the receipt and sufficiency of which are hereby acknowledged by each party hereto, it is hereby agreed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Consent and Subordination</w:t>
      </w:r>
      <w:r>
        <w:rPr>
          <w:rFonts w:ascii="Times New Roman;sans-serif" w:hAnsi="Times New Roman;sans-serif"/>
          <w:b w:val="false"/>
          <w:color w:val="000000"/>
          <w:sz w:val="24"/>
        </w:rPr>
        <w:t>. Lender hereby consents to the Lease. The Lease and the rights of Tenant in and under the Lease and in and to the Property, are hereby subjected and subordinated and shall remain in all respects and for all purposes subject and subordinate to the Deed to Secure Debt and to any and all advances made on the security thereof and to any and all increases, amendments, supplements, modifications, renewals, consolidations, extensions or replacements thereto, thereof or therefor, and to the rights and interests of any of Lender’s successors or assignees. This provision is acknowledged by Tenant to be self-operative, and no further instrument shall be required to effect such subordination of the 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Tenant to Attorn to Deed to Secure Debt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If the interests of Borrower in and to the Property are owned by Lender by reason of any deed in lieu of foreclosure, judicial foreclosure, sale pursuant to any power of sale or other proceedings brought by it or by any other manner, including, but not limited to, Lender’s exercise of its rights under any collateral assignment(s) of leases and rents, and Lender succeeds to the interest of Borrower under the Lease, Lender and Tenant shall be bound to each other under all of the terms, covenants, and conditions of the Lease for the balance of the term thereof remaining, and any extension thereof duly exercised by Tenant with the same force and effect as if Lender were the lessor under the Lease.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Tenant does hereby attorn to Lender, as its lessor, said attornment to be effective and self-operative, without the execution of any further instruments on the part of any parties hereto, immediately upon Lender’s succeeding to the interest of Borrower under the Lease. Notwithstanding the foregoing, Tenant shall be under no obligation to pay rent to Lender until three (3) calendar days after Lender sends written notice in accordance with Section 10 of this Agreement notifying Tenant that Lender has succeeded to the interest of the Borrower under the Lease or otherwise has the right to receive such rents.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The respective rights and obligations of Tenant and Lender upon such attornment shall be in accordance with the Lease to the extent of the then remaining balance of the term now set forth therein, it being the intention of the parties hereto for this purpose to incorporate the Lease in this Agreement by reference, with the same force and effect as if set forth at length 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Borrower hereby consents to Tenant's attornment to Lender and, upon such event, agrees that Tenant shall pay all rent and all other sums due under the Lease to Lender as provided in the 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Tenant</w:t>
      </w:r>
      <w:r>
        <w:rPr>
          <w:color w:val="000000"/>
        </w:rPr>
        <w:t xml:space="preserve"> </w:t>
      </w:r>
      <w:r>
        <w:rPr>
          <w:rFonts w:ascii="Times New Roman;sans-serif" w:hAnsi="Times New Roman;sans-serif"/>
          <w:b w:val="false"/>
          <w:color w:val="000000"/>
          <w:sz w:val="24"/>
        </w:rPr>
        <w:t xml:space="preserve">also agrees to provide any and all information and execute any and all documents reasonably required by any Lender to effectuate the provisions hereof. If Tenant fails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88925"/>
                <wp:effectExtent l="0" t="0" r="0" b="0"/>
                <wp:wrapNone/>
                <wp:docPr id="118" name="Frame11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provide any such information or fails execute any such document within ten (10) days after Lender’s request therefor, the same shall be deemed a material default under the 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Tenant Not to Be Disturbed</w:t>
      </w:r>
      <w:r>
        <w:rPr>
          <w:rFonts w:ascii="Times New Roman;sans-serif" w:hAnsi="Times New Roman;sans-serif"/>
          <w:b w:val="false"/>
          <w:color w:val="000000"/>
          <w:sz w:val="24"/>
        </w:rPr>
        <w:t xml:space="preserve">. If the interests of Borrower under the Lease shall be transferred to Lender by reason of foreclosure or other proceedings brought by it in lieu of, or pursuant to, a foreclosure, by deed in lieu of foreclosure or by any other manner, and Lender succeeds to the interest of the Borrower under the Lease, and provided that Tenant is not in default in the payment of rent or additional rent or in the performance of any of the material terms, covenants or conditions of the Lease on Tenant’s part to be performed (beyond any applicable period given Tenant to cure such default), Tenant’s possession of the Property and Tenant’s rights and privileges under the Lease, or any extensions or renewals thereof which may be effected in accordance with any renewal rights contained in the Lease, shall not be diminished or interfered with by Lender, and Tenant’s occupancy of the Property shall not be disturbed by Lender for any reason whatsoever during the term of the Lease or any such extensions or renewals thereof.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Lender Not Bound By Certain Acts of Borrower</w:t>
      </w:r>
      <w:r>
        <w:rPr>
          <w:rFonts w:ascii="Times New Roman;sans-serif" w:hAnsi="Times New Roman;sans-serif"/>
          <w:b w:val="false"/>
          <w:color w:val="000000"/>
          <w:sz w:val="24"/>
        </w:rPr>
        <w:t xml:space="preserve">. If Lender shall succeed to the interest of Borrower under the Lease, Lender shall not be: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a.liable for any breach of the Lease or other act or omission of any prior landlord (including Borrower);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b.subject to any offsets or defenses which Tenant might have against any prior landlord (including Borrower);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c.bound by any rent or additional rent which Tenant might have paid for more than one month in advance, and all such rent shall remain due and owing, notwithstanding such advance payment;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d.bound by any provisions of the Lease regarding the commencement or completion of any construction, or the payment of any construction allowance or contribution towards the cost of work performed by Tenant;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e.bound by any provision of the Lease which provided for warranties of construction from Borrower to Tenant, or for the cleanup of or damages resulting from hazardous materials;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f.bound by any provision of the Lease restricting the use of other properties owned by Lender, as landlord, for purposes which compete with Tenant;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g.liable for the return of any security deposit or advance rental deposit except to the extent actually received by Lender from Borrower;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h.liable for any representations and warranties of Borrower;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i.bound by any amendment, modification, termination, assignment or sublease made without the Lender’s consent.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88925"/>
                <wp:effectExtent l="0" t="0" r="0" b="0"/>
                <wp:wrapNone/>
                <wp:docPr id="119" name="Frame11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Assignment of Rents</w:t>
      </w:r>
      <w:r>
        <w:rPr>
          <w:rFonts w:ascii="Times New Roman;sans-serif" w:hAnsi="Times New Roman;sans-serif"/>
          <w:b w:val="false"/>
          <w:color w:val="000000"/>
          <w:sz w:val="24"/>
        </w:rPr>
        <w:t>. Pursuant to an Assignment of Rents included in the Deed to Secure Debt, Borrower has assigned its interest in the rents and payments due under the Lease to Lender as security for repayment of the Loan. If in the future there is a default by the Borrower in the performance and observance of the terms of the Deed to Secure Debt, the Lender may, at its option under the Assignment of Rents, require that all rents and other payments due under the Lease be paid directly to it. Borrower hereby authorizes and directs Tenant and Tenant, upon receipt of written notice, agrees to pay any payments due under the terms of the Lease to or as directed by Lender. The making of such payments directly to or as directed by Lender shall satisfy Tenant’s obligation to make such payments to the landlord under the Lease, whether or not Lender had the right to give notice to Tenant to make such payments directly to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Notice to Lender by Tenant</w:t>
      </w:r>
      <w:r>
        <w:rPr>
          <w:rFonts w:ascii="Times New Roman;sans-serif" w:hAnsi="Times New Roman;sans-serif"/>
          <w:b w:val="false"/>
          <w:color w:val="000000"/>
          <w:sz w:val="24"/>
        </w:rPr>
        <w:t>. In the event of any act or omission by Borrower under the Lease which would give Tenant the right, either immediately or after the lapse of a period of time, to terminate the Lease, or claim a partial or total eviction, Tenant shall, at the time it provides written notice to Borrower of such breach, use commercially reasonable efforts to mail a copy of such written notice to Lender by certified or registered mail, return receipt requested, addressed to Lender, at Lender’s address. Tenant’s rights under the Lease shall not be affected by whether it delivers, or whether Lender receives, notice to the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This Agreement will automatically terminate upon satisfaction of the Deed to Secure Debt.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This Agreement and each and every covenant, agreement and other provision hereof shall be binding upon and inure to the benefit of the parties hereto and their heirs, administrators, representatives, successors and assigns, including without limitation each and every holder of the Lease or any other person having an interest therein, and any holder of the Deed to Secure Debt and the Assignment of Rents and any other person having an interest therein.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Choice of Law</w:t>
      </w:r>
      <w:r>
        <w:rPr>
          <w:rFonts w:ascii="Times New Roman;sans-serif" w:hAnsi="Times New Roman;sans-serif"/>
          <w:b w:val="false"/>
          <w:color w:val="000000"/>
          <w:sz w:val="24"/>
        </w:rPr>
        <w:t xml:space="preserve">. This Agreement is made and executed under and in all respects is to be governed and construed by the laws of the State of Georgia.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demands, consents and approvals which may or are required to be given by either party to the other hereunder shall be in writing and shall be deemed to have been fully given when delivered personally, or sent by a nationally recognized overnight courier service or United States Mail, certified or registered, return receipt requested, postage prepaid, addressed as follows: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Tenant: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City, State, Zip</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88925"/>
                <wp:effectExtent l="0" t="0" r="0" b="0"/>
                <wp:wrapNone/>
                <wp:docPr id="120" name="Frame11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0"/>
        <w:ind w:left="0" w:right="0" w:hanging="14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before="0" w:after="0"/>
        <w:ind w:left="0" w:right="0" w:hanging="144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Lender:</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Pinnacle Bank</w:t>
      </w:r>
    </w:p>
    <w:p>
      <w:pPr>
        <w:pStyle w:val="TextBody"/>
        <w:bidi w:val="0"/>
        <w:spacing w:lineRule="auto" w:line="288" w:before="0" w:after="0"/>
        <w:ind w:left="0" w:right="0" w:firstLine="720"/>
        <w:jc w:val="both"/>
        <w:rPr>
          <w:color w:val="000000"/>
        </w:rPr>
      </w:pPr>
      <w:r>
        <w:rPr>
          <w:color w:val="000000"/>
        </w:rPr>
        <w:t>    </w:t>
      </w:r>
      <w:r>
        <w:rPr>
          <w:rFonts w:ascii="Times New Roman;sans-serif" w:hAnsi="Times New Roman;sans-serif"/>
          <w:b w:val="false"/>
          <w:color w:val="000000"/>
          <w:sz w:val="24"/>
        </w:rPr>
        <w:t>150 Third Avenue South, Suite 900</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Nashville, Tennessee 37201</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Attention: Tyler Muesch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Pinnacle Bank</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150 3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Avenue South, Suite 900</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Tennessee 37201</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Attention: Legal Department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Borrower: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 Realty IX-NDG I Atlanta Freeman Intermodal, L.P.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910 Davis Bend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Alpharetta, Georgia 30004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Waiver of Jury Trial</w:t>
      </w:r>
      <w:r>
        <w:rPr>
          <w:rFonts w:ascii="Times New Roman;sans-serif" w:hAnsi="Times New Roman;sans-serif"/>
          <w:b/>
          <w:color w:val="000000"/>
          <w:sz w:val="24"/>
        </w:rPr>
        <w:t>.</w:t>
      </w:r>
      <w:r>
        <w:rPr>
          <w:color w:val="000000"/>
        </w:rPr>
        <w:t xml:space="preserve"> </w:t>
      </w:r>
      <w:r>
        <w:rPr>
          <w:rFonts w:ascii="Times New Roman;sans-serif" w:hAnsi="Times New Roman;sans-serif"/>
          <w:b/>
          <w:color w:val="000000"/>
          <w:sz w:val="24"/>
        </w:rPr>
        <w:t>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BY, AMONG OTHER THINGS, THE MUTUAL WAIVERS AND CERTIFICATIONS.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Waiver of Special Damages</w:t>
      </w:r>
      <w:r>
        <w:rPr>
          <w:rFonts w:ascii="Times New Roman;sans-serif" w:hAnsi="Times New Roman;sans-serif"/>
          <w:b/>
          <w:color w:val="000000"/>
          <w:sz w:val="24"/>
        </w:rPr>
        <w:t>.</w:t>
      </w:r>
      <w:r>
        <w:rPr>
          <w:color w:val="000000"/>
        </w:rPr>
        <w:t xml:space="preserve"> </w:t>
      </w:r>
      <w:r>
        <w:rPr>
          <w:rFonts w:ascii="Times New Roman;sans-serif" w:hAnsi="Times New Roman;sans-serif"/>
          <w:b/>
          <w:color w:val="000000"/>
          <w:sz w:val="24"/>
        </w:rPr>
        <w:t>TO THE EXTENT PERMITTED BY APPLICABLE LAW, ALL PARTIES TO THIS AGREEMENT AGREE THEY WILL NOT ASSERT, AND HEREBY WAIVE, ANY CLAIM AGAINST THE ANY OTHER PARTY, ON ANY THEORY OF LIABILITY OTHER THAN GROSS NEGLIGENCE, WILLFUL MISCONDUCT OR FRAUD, FOR SPECIAL, INDIRECT, CONSEQUENTIAL OR PUNITIVE DAMAGES (AS OPPOSED TO DIRECT OR ACTUAL DAMAGES) ARISING OUT OF, IN CONNECTION WITH, OR AS A RESULT OF, THIS AGREEMENT OR ANY AGREEMENT OR INSTRUMENT CONTEMPLATED HEREBY</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88925"/>
                <wp:effectExtent l="0" t="0" r="0" b="0"/>
                <wp:wrapNone/>
                <wp:docPr id="121" name="Frame11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 Partnership or Co-Venture.</w:t>
      </w:r>
      <w:r>
        <w:rPr>
          <w:color w:val="000000"/>
        </w:rPr>
        <w:t xml:space="preserve"> </w:t>
      </w:r>
      <w:r>
        <w:rPr>
          <w:rFonts w:ascii="Times New Roman;sans-serif" w:hAnsi="Times New Roman;sans-serif"/>
          <w:b w:val="false"/>
          <w:color w:val="000000"/>
          <w:sz w:val="24"/>
        </w:rPr>
        <w:t xml:space="preserve">Neither the execution and delivery by Lender of this Agreement, nor the exercise by the Lender of any of its rights, privileges or remedies hereunder or under the Loan and Deed to Secure Debt or under applicable law, shall be deemed to render the Lender a co-partner, or co-venturer, with the Borrower, Tenant or any other person or entity, it being expressly understood, acknowledged and agreed by the parties that all of such rights, privileges and remedies are being conferred upon, and exercised by, the Lender solely in furtherance of its role as a secured lender.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Counterparts; Electronic Delivery</w:t>
      </w:r>
      <w:r>
        <w:rPr>
          <w:rFonts w:ascii="Times New Roman;sans-serif" w:hAnsi="Times New Roman;sans-serif"/>
          <w:b w:val="false"/>
          <w:color w:val="000000"/>
          <w:sz w:val="24"/>
        </w:rPr>
        <w:t>. This Agreement may be signed in two or more counterparts, each of which shall be deemed an original but all of which shall constitute one and the same instrument. Delivery of an executed counterpart hereof by email or facsimile shall constitute delivery of an executed original.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Conflict.</w:t>
      </w:r>
      <w:r>
        <w:rPr>
          <w:color w:val="000000"/>
        </w:rPr>
        <w:t xml:space="preserve"> </w:t>
      </w:r>
      <w:r>
        <w:rPr>
          <w:rFonts w:ascii="Times New Roman;sans-serif" w:hAnsi="Times New Roman;sans-serif"/>
          <w:b w:val="false"/>
          <w:color w:val="000000"/>
          <w:sz w:val="24"/>
        </w:rPr>
        <w:t>If there shall be any conflict between the terms of this Agreement and the terms of the Lease, the terms of this Agreement shall be controlling.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The captions and headings of the various sections of this Agreement are for convenience only and are not to be construed as confining or limiting in any way the scope or intent of the provisions hereof. Whenever the context requires or permits, the singular shall include the plural, the plural shall include the singular and the masculine, feminine and neuter shall be freely interchangeable. This Agreement constitutes the entire agreement of the parties with respect to subject matter hereof. This Agreement may not be modified orally or in any manner other than by an agreement, in writing, signed by the parties hereto, or their respective assigns or successors in interest. This Agreement is and shall be binding upon and shall inure to the benefit of Tenant, Borrower, and Lender and their respective successors and assigns.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88925"/>
                <wp:effectExtent l="0" t="0" r="0" b="0"/>
                <wp:wrapNone/>
                <wp:docPr id="122" name="Frame12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[SIGNATURE PAGE TO SUBORDINATION, NON-DISTURBANCE AND ATTORNMENT AGREEMENT]</w:t>
      </w:r>
    </w:p>
    <w:p>
      <w:pPr>
        <w:pStyle w:val="TextBody"/>
        <w:bidi w:val="0"/>
        <w:spacing w:lineRule="auto" w:line="288" w:before="0" w:after="36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intending to be legally bound, have duly executed and delivered this Agreement, UNDER SEAL, to be effective as of the day and year first above written.</w:t>
      </w:r>
    </w:p>
    <w:p>
      <w:pPr>
        <w:pStyle w:val="TextBody"/>
        <w:bidi w:val="0"/>
        <w:spacing w:before="0" w:after="0"/>
        <w:jc w:val="left"/>
        <w:rPr/>
      </w:pPr>
      <w:r>
        <w:rPr/>
      </w:r>
    </w:p>
    <w:tbl>
      <w:tblPr>
        <w:tblW w:w="8324" w:type="dxa"/>
        <w:jc w:val="left"/>
        <w:tblInd w:w="0" w:type="dxa"/>
        <w:tblLayout w:type="fixed"/>
        <w:tblCellMar>
          <w:top w:w="28" w:type="dxa"/>
          <w:left w:w="28" w:type="dxa"/>
          <w:bottom w:w="28" w:type="dxa"/>
          <w:right w:w="28" w:type="dxa"/>
        </w:tblCellMar>
      </w:tblPr>
      <w:tblGrid>
        <w:gridCol w:w="1107"/>
        <w:gridCol w:w="975"/>
        <w:gridCol w:w="977"/>
        <w:gridCol w:w="1540"/>
        <w:gridCol w:w="1540"/>
        <w:gridCol w:w="2185"/>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Signed, sealed and delivered in</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presence of:</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Unofficial Witness</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Notary Public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My Commission Expires:</w:t>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(NOTARIAL SEAL)</w:t>
            </w:r>
          </w:p>
        </w:tc>
        <w:tc>
          <w:tcPr>
            <w:tcW w:w="52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TENANT:</w:t>
            </w:r>
          </w:p>
          <w:p>
            <w:pPr>
              <w:pStyle w:val="TableContents"/>
              <w:bidi w:val="0"/>
              <w:spacing w:before="0" w:after="0"/>
              <w:jc w:val="both"/>
              <w:rPr/>
            </w:pPr>
            <w:r>
              <w:rPr/>
            </w:r>
          </w:p>
          <w:p>
            <w:pPr>
              <w:pStyle w:val="TableContents"/>
              <w:bidi w:val="0"/>
              <w:spacing w:lineRule="auto" w:line="288" w:before="0" w:after="0"/>
              <w:jc w:val="left"/>
              <w:rPr/>
            </w:pPr>
            <w:r>
              <w:rPr>
                <w:rFonts w:ascii="Times New Roman;sans-serif" w:hAnsi="Times New Roman;sans-serif"/>
                <w:b/>
                <w:color w:val="000000"/>
                <w:sz w:val="24"/>
              </w:rPr>
              <w:t>HF FOODS GROUP, INC.</w:t>
            </w:r>
            <w:r>
              <w:rPr>
                <w:rFonts w:ascii="Times New Roman;sans-serif" w:hAnsi="Times New Roman;sans-serif"/>
                <w:b w:val="false"/>
                <w:color w:val="000000"/>
                <w:sz w:val="24"/>
              </w:rPr>
              <w:t>, a Delaware corporation</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rPr>
              <w:t>(SEAL)</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Name:</w:t>
            </w:r>
            <w:r>
              <w:rPr>
                <w:color w:val="000000"/>
                <w:u w:val="single"/>
              </w:rPr>
              <w:t>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Title:</w:t>
            </w:r>
            <w:r>
              <w:rPr>
                <w:color w:val="000000"/>
                <w:u w:val="single"/>
              </w:rPr>
              <w:t>                    </w:t>
            </w:r>
          </w:p>
          <w:p>
            <w:pPr>
              <w:pStyle w:val="TableContents"/>
              <w:bidi w:val="0"/>
              <w:spacing w:before="0" w:after="0"/>
              <w:jc w:val="left"/>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[CORPORATE SEAL]</w:t>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88925"/>
                <wp:effectExtent l="0" t="0" r="0" b="0"/>
                <wp:wrapNone/>
                <wp:docPr id="123" name="Frame12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[SIGNATURE PAGE TO SUBORDINATION, NON-DISTURBANCE AND ATTORNMENT AGREEMENT]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2"/>
        <w:gridCol w:w="784"/>
        <w:gridCol w:w="788"/>
        <w:gridCol w:w="2264"/>
        <w:gridCol w:w="2264"/>
        <w:gridCol w:w="3213"/>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Signed, sealed and delivered in</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the presence of:</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Unofficial Witness</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Notary Public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My Commission Expires:</w:t>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(NOTARIAL SEAL)</w:t>
            </w:r>
          </w:p>
        </w:tc>
        <w:tc>
          <w:tcPr>
            <w:tcW w:w="774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BORROWER:</w:t>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color w:val="000000"/>
                <w:sz w:val="24"/>
              </w:rPr>
              <w:t xml:space="preserve">CH REALTY IX-NDG I ATLANTA FREEMAN INTERMODAL, L.P., </w:t>
            </w:r>
            <w:r>
              <w:rPr>
                <w:rFonts w:ascii="Times New Roman;sans-serif" w:hAnsi="Times New Roman;sans-serif"/>
                <w:b w:val="false"/>
                <w:color w:val="000000"/>
                <w:sz w:val="24"/>
              </w:rPr>
              <w:t>a Delaware limited partnership</w:t>
            </w:r>
          </w:p>
          <w:p>
            <w:pPr>
              <w:pStyle w:val="TableContents"/>
              <w:bidi w:val="0"/>
              <w:spacing w:before="0" w:after="0"/>
              <w:jc w:val="both"/>
              <w:rPr/>
            </w:pPr>
            <w:r>
              <w:rPr/>
            </w:r>
          </w:p>
          <w:p>
            <w:pPr>
              <w:pStyle w:val="TableContents"/>
              <w:bidi w:val="0"/>
              <w:spacing w:lineRule="auto" w:line="288" w:before="0" w:after="0"/>
              <w:ind w:left="0" w:right="0" w:hanging="720"/>
              <w:jc w:val="both"/>
              <w:rPr/>
            </w:pPr>
            <w:r>
              <w:rPr>
                <w:rFonts w:ascii="Times New Roman;sans-serif" w:hAnsi="Times New Roman;sans-serif"/>
                <w:b w:val="false"/>
                <w:color w:val="000000"/>
                <w:sz w:val="24"/>
              </w:rPr>
              <w:t>By:</w:t>
            </w:r>
            <w:r>
              <w:rPr>
                <w:color w:val="000000"/>
              </w:rPr>
              <w:t xml:space="preserve">     </w:t>
            </w:r>
            <w:r>
              <w:rPr>
                <w:rFonts w:ascii="Times New Roman;sans-serif" w:hAnsi="Times New Roman;sans-serif"/>
                <w:b w:val="false"/>
                <w:color w:val="000000"/>
                <w:sz w:val="24"/>
              </w:rPr>
              <w:t>20 West Industrial GP, LLC, a Georgia limited liability company, its general partner</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ind w:left="0" w:right="0" w:firstLine="720"/>
              <w:jc w:val="both"/>
              <w:rPr/>
            </w:pPr>
            <w:r>
              <w:rPr>
                <w:rFonts w:ascii="Times New Roman;sans-serif" w:hAnsi="Times New Roman;sans-serif"/>
                <w:b w:val="false"/>
                <w:color w:val="000000"/>
                <w:sz w:val="24"/>
              </w:rPr>
              <w:t xml:space="preserve">By: </w:t>
            </w:r>
            <w:r>
              <w:rPr>
                <w:color w:val="000000"/>
                <w:u w:val="single"/>
              </w:rPr>
              <w:t>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Joseph K. McGorrey</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Manager</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[SEAL]</w:t>
            </w:r>
          </w:p>
        </w:tc>
      </w:tr>
    </w:tbl>
    <w:p>
      <w:pPr>
        <w:pStyle w:val="TextBody"/>
        <w:bidi w:val="0"/>
        <w:spacing w:before="0" w:after="240"/>
        <w:jc w:val="left"/>
        <w:rPr/>
      </w:pPr>
      <w:r>
        <w:rPr/>
      </w:r>
    </w:p>
    <w:p>
      <w:pPr>
        <w:pStyle w:val="TextBody"/>
        <w:bidi w:val="0"/>
        <w:spacing w:before="0" w:after="3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88925"/>
                <wp:effectExtent l="0" t="0" r="0" b="0"/>
                <wp:wrapNone/>
                <wp:docPr id="124" name="Frame12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[SIGNATURE PAGE TO SUBORDINATION, NON-DISTURBANCE AND ATTORNMENT AGREEMENT]</w:t>
      </w:r>
    </w:p>
    <w:p>
      <w:pPr>
        <w:pStyle w:val="TextBody"/>
        <w:bidi w:val="0"/>
        <w:spacing w:before="0" w:after="0"/>
        <w:jc w:val="left"/>
        <w:rPr/>
      </w:pPr>
      <w:r>
        <w:rPr/>
      </w:r>
    </w:p>
    <w:tbl>
      <w:tblPr>
        <w:tblW w:w="8503" w:type="dxa"/>
        <w:jc w:val="left"/>
        <w:tblInd w:w="0" w:type="dxa"/>
        <w:tblLayout w:type="fixed"/>
        <w:tblCellMar>
          <w:top w:w="28" w:type="dxa"/>
          <w:left w:w="28" w:type="dxa"/>
          <w:bottom w:w="28" w:type="dxa"/>
          <w:right w:w="28" w:type="dxa"/>
        </w:tblCellMar>
      </w:tblPr>
      <w:tblGrid>
        <w:gridCol w:w="1107"/>
        <w:gridCol w:w="975"/>
        <w:gridCol w:w="977"/>
        <w:gridCol w:w="1592"/>
        <w:gridCol w:w="1592"/>
        <w:gridCol w:w="2260"/>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Signed, sealed and delivered in</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presence of:</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Unofficial Witness</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Notary Public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My Commission Expires:</w:t>
            </w:r>
          </w:p>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(NOTARIAL SEAL)</w:t>
            </w:r>
          </w:p>
        </w:tc>
        <w:tc>
          <w:tcPr>
            <w:tcW w:w="54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LENDER:</w:t>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color w:val="000000"/>
                <w:sz w:val="24"/>
              </w:rPr>
              <w:t>PINNACLE BANK</w:t>
            </w:r>
            <w:r>
              <w:rPr>
                <w:rFonts w:ascii="Times New Roman;sans-serif" w:hAnsi="Times New Roman;sans-serif"/>
                <w:b w:val="false"/>
                <w:color w:val="000000"/>
                <w:sz w:val="24"/>
              </w:rPr>
              <w:t>, a Tennessee banking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rPr>
              <w:t>(SEAL)</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Tyler Muesch, Senior Vice President</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[CORPORATE SEAL]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88925"/>
                <wp:effectExtent l="0" t="0" r="0" b="0"/>
                <wp:wrapNone/>
                <wp:docPr id="125" name="Frame12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0"/>
        <w:jc w:val="center"/>
        <w:rPr/>
      </w:pPr>
      <w:r>
        <w:rPr/>
        <w:drawing>
          <wp:inline distT="0" distB="0" distL="0" distR="0">
            <wp:extent cx="1266825" cy="257175"/>
            <wp:effectExtent l="0" t="0" r="0" b="0"/>
            <wp:docPr id="12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 descr=""/>
                    <pic:cNvPicPr>
                      <a:picLocks noChangeAspect="1" noChangeArrowheads="1"/>
                    </pic:cNvPicPr>
                  </pic:nvPicPr>
                  <pic:blipFill>
                    <a:blip r:embed="rId20"/>
                    <a:stretch>
                      <a:fillRect/>
                    </a:stretch>
                  </pic:blipFill>
                  <pic:spPr bwMode="auto">
                    <a:xfrm>
                      <a:off x="0" y="0"/>
                      <a:ext cx="1266825" cy="257175"/>
                    </a:xfrm>
                    <a:prstGeom prst="rect">
                      <a:avLst/>
                    </a:prstGeom>
                  </pic:spPr>
                </pic:pic>
              </a:graphicData>
            </a:graphic>
          </wp:inline>
        </w:drawing>
      </w: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Legal Description of Property</w: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color w:val="000000"/>
          <w:sz w:val="24"/>
          <w:u w:val="single"/>
        </w:rPr>
        <w:t>Tract 1</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that tract or parcel of land lying and being in Land Lots 1096 &amp; 1097 of the 19th District, 2nd Section, Cobb County, Georgia, and being more particularly described as follows: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1/2 inch rebar found at the common corner of Land Lots 1050, 1051, 1096, &amp; 1097, said point being the Point of Beginning;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along the Northern line of Land Lot 1096 South 87 degrees 59 minutes 28 seconds East 198.13 feet to a 1/2 inch rebar found;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88 degrees 57 minutes 52 seconds East 20.96 feet to a 5/8 inch rebar found;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88 degrees 54 minutes 45 seconds East 509.64 feet to a 1/2 inch rebar set;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88 degrees 54 minutes 45 seconds East 652.42 feet to a point;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leaving the said land lot line South 47 degrees 45 minutes 30 seconds West 1799.25 feet to a point on the Northeasterly right of way of C.H. James Parkway a.k.a. Highway 278 (Variable R/W);</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along the said right of way North 42 degrees 36 minutes 46 seconds West 347.71 feet to a 1/2 inch rebar set; Thence North 42 degrees 36 minutes 40 seconds West 251.31 feet to a 1/2 inch rebar set;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42 degrees 36 minutes 40 seconds West 1038.18 feet to a 1/2 inch rebar found at the intersection of the said right of way and the Northern line of Land Lot 1097;</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leaving the said right of way along the said land lot line South 89 degrees 24 minutes 48 seconds East 1059.67 feet to a 1/2 inch rebar found, said point being the Point of Beginning;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Said tract or parcel contains 33.31 acres (1,450,802 square feet), more or less.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LESS AND EXCEPT the property conveyed by that certain Quitclaim Deed from CH Realty IX-NDG I Atlanta Freeman Intermodal, L.P., a Delaware limited partnership, to Powder Springs BC LLC, a Georgia limited liability company, dated August 3, 2022, recorded August 3, 2022 in Deed Book 16077, Page 3425, Cobb County, Georgia records.</w:t>
      </w:r>
    </w:p>
    <w:p>
      <w:pPr>
        <w:pStyle w:val="TextBody"/>
        <w:bidi w:val="0"/>
        <w:spacing w:lineRule="auto" w:line="288" w:before="0" w:after="240"/>
        <w:jc w:val="both"/>
        <w:rPr/>
      </w:pPr>
      <w:r>
        <w:rPr>
          <w:rFonts w:ascii="Times New Roman;sans-serif" w:hAnsi="Times New Roman;sans-serif"/>
          <w:b/>
          <w:color w:val="000000"/>
          <w:sz w:val="24"/>
          <w:u w:val="single"/>
        </w:rPr>
        <w:t>Tract 2</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88925"/>
                <wp:effectExtent l="0" t="0" r="0" b="0"/>
                <wp:wrapNone/>
                <wp:docPr id="127" name="Frame12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 that tract or parcel of land lying and being in Land Lot 1050 of the 19th District, 2nd Section, City of Powder Springs, Cobb County, Georgia, and being more particularly described as follows;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1/2 inch rebar found at the Southeastern corner of Land Lot 1050 per DB. 12341, Pg. 462, said point being the Point of Beginning;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along the South line of said land lot North 89 degrees 24 minutes 48 seconds West 698.99 feet to a point at the intersection of said land lot line and the centerline of an unnamed creek;</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along the said centerline of creek in a Northeasterly direction for 438+/- feet with a tie line of North 64 degrees 10 minutes 20 seconds East 383.59 feet to a point;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leaving said centerline of creek North 02 degrees 17 minutes 06 seconds East 129.17 feet to a point;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29 degrees 13 minutes 32 seconds West 56.97 feet to a point;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87 degrees 21 minutes 47 seconds West 55.47 feet to a concrete monument found on the Southerly right of way of Oglesby Road (Variable R/W);</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along said right of way North 01 degrees 33 minutes 30 seconds East 27.73 feet to a concrete monument found;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South 87 degrees 24 minutes 08 seconds East 205.55 feet to a 1/2 inch rebar set;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along a curve to the right an arc length of 174.94 feet, said curve having a radius of 2272.00 feet, and being subtended by a chord of 174.90 feet, at South 85 degrees 16 minutes 39 seconds East to a 1/2 inch rebar set;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South 80 degrees 57 minutes 56 seconds East 64.57 feet to a 1/2 inch rebar found at the intersection of said right of way and the Eastern line of Land Lot 1050;</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leaving said right of way and along said land lot line South 02 degrees 01 minutes 59 seconds West 349.69 feet to a 1/2 inch rebar found, said point being the Point of Beginning;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Said tract or parcel contains 3.8+/- acres (163,692 square feet), more or less.</w:t>
      </w:r>
    </w:p>
    <w:p>
      <w:pPr>
        <w:pStyle w:val="TextBody"/>
        <w:bidi w:val="0"/>
        <w:spacing w:lineRule="auto" w:line="288" w:before="0" w:after="240"/>
        <w:jc w:val="both"/>
        <w:rPr/>
      </w:pPr>
      <w:r>
        <w:rPr>
          <w:rFonts w:ascii="Times New Roman;sans-serif" w:hAnsi="Times New Roman;sans-serif"/>
          <w:b/>
          <w:color w:val="000000"/>
          <w:sz w:val="24"/>
          <w:u w:val="single"/>
        </w:rPr>
        <w:t>The above Tracts 1 and 2 also being described as follows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THAT TRACT OR PARCEL OF LAND LYING AND BEING IN LAND LOTS 1050, 1096 &amp; 1097 OF THE 19TH DISTRICT, 2ND SECTION, CITY OF POWDER SPRINGS, COBB COUNTY, GEORGIA, AND BEING MORE PARTICULARLY DESCRIBED AS FOLLOWS: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88925"/>
                <wp:effectExtent l="0" t="0" r="0" b="0"/>
                <wp:wrapNone/>
                <wp:docPr id="128" name="Frame12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#4 REBAR FOUND AT THE COMMON CORNER OF LAND LOTS 1050, 1051, 1096, &amp; 1097 PER D.B. 15892 PG. 4562, SAID POINT BEING THE POINT OF BEGINNING;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ALONG THE NORTHERN LINE OF LAND LOT 1096 SOUTH 87 DEGREES 59 MINUTES 28 SECONDS EAST 198.13 FEET TO A #4 REBAR FOUND;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NORTH 88 DEGREES 57 MINUTES 52 SECONDS EAST 20.96 FEET TO A #3 REBAR FOUND;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NORTH 88 DEGREES 54 MINUTES 45 SECONDS EAST 509.64 FEET TO A #4 REBAR SET;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NORTH 88 DEGREES 54 MINUTES 45 SECONDS EAST 652.42 FEET TO A #4 REBAR SET;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LEAVING SAID LAND LOT LINE SOUTH 47 DEGREES 45 MINUTES 30 SECONDS WEST 1799.26 FEET TO A #4 REBAR SET ON THE NORTHEASTERLY RIGHT OF WAY OF C.H. JAMES PARKWAY (A.K.A. HWY 278) (VARIABLE R/W);</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ALONG SAID RIGHT OF WAY NORTH 42 DEGREES 36 MINUTES 40 SECONDS WEST 347.71 FEET TO A #4 REBAR SET;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NORTH 42 DEGREES 36 MINUTES 40 SECONDS WEST 251.31 FEET TO A #4 REBAR SET;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NORTH 42 DEGREES 36 MINUTES 40 SECONDS WEST 804.68 FEET TO A POINT AT THE INTERSECTION OF SAID RIGHT OF WAY AND THE CENTERLINE OF AN UNNAMED CREEK;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LEAVING SAID RIGHT OF WAY AND ALONG SAID CENTERLINE OF CREEK FOR 267± FEET WITH A TIE LINE OF NORTH 45 DEGREES 52 MINUTES 37 SECONDS EAST 241.96 FEET TO A POINT;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CONTINUING ALONG SAID CREEK FOR 438± FEET WITH A TIE LINE OF NORTH 64 DEGREES 10 MINUTES 20 SECONDS EAST 383.59 FEET TO A POINT;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LEAVING SAID CENTERLINE OF CREEK NORTH 02 DEGREES 17 MINUTES 06 SECONDS EAST 129.17 FEET TO A #4 REBAR SET;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NORTH 29 DEGREES 13 MINUTES 32 SECONDS WEST 56.97 FEET TO A #4 REBAR SET;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87 DEGREES 21 MINUTES 47 SECONDS WEST 55.47 FEET TO A CONCRETE MONUMENT FOUND ON THE SOUTHERLY RIGHT OF WAY OF OGLESBY ROAD (VARIABLE R/W);</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88925"/>
                <wp:effectExtent l="0" t="0" r="0" b="0"/>
                <wp:wrapNone/>
                <wp:docPr id="129" name="Frame12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ALONG SAID RIGHT OF WAY NORTH 01 DEGREES 33 MINUTES 30 SECONDS EAST 27.73 FEET TO A CONCRETE MONUMENT FOUND;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SOUTH 87 DEGREES 24 MINUTES 08 SECONDS EAST 205.55 FEET TO A #4 REBAR SET;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ALONG A CURVE TO THE RIGHT AN ARC LENGTH OF 174.94 FEET, SAID CURVE HAVING A RADIUS OF 2272.00 FEET, AND BEING SUBTENDED BY A CHORD OF 174.90 FEET, AT SOUTH 85 DEGREES 16 MINUTES 39 SECONDS EAST TO A #4 REBAR SET;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THENCE SOUTH 80 DEGREES 57 MINUTES 56 SECONDS EAST 64.57 FEET TO A #4 REBAR FOUND;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LEAVING SAID RIGHT OF WAY SOUTH 02 DEGREES 01 MINUTES 59 SECONDS WEST 349.69 FEET TO A #4 REBAR FOUND;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THENCE SOUTH 89 DEGREES 24 MINUTES 53 SECONDS EAST 28.89 FEET TO A #4 REBAR FOUND, SAID POINT BEING THE POINT OF BEGINNING;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SAID TRACT OR PARCEL CONTAINS 36.36± ACRES 1,583,952 SQUARE FEET, MORE OR LESS.</w:t>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ind w:left="0" w:right="0" w:hanging="720"/>
        <w:jc w:val="center"/>
        <w:rPr/>
      </w:pPr>
      <w:r>
        <w:rPr/>
      </w:r>
    </w:p>
    <w:p>
      <w:pPr>
        <w:pStyle w:val="TextBody"/>
        <w:bidi w:val="0"/>
        <w:spacing w:lineRule="auto" w:line="288" w:before="0" w:after="0"/>
        <w:ind w:left="0" w:right="0" w:hanging="720"/>
        <w:jc w:val="center"/>
        <w:rPr>
          <w:rFonts w:ascii="Times New Roman;sans-serif" w:hAnsi="Times New Roman;sans-serif"/>
          <w:b w:val="false"/>
          <w:color w:val="000000"/>
          <w:sz w:val="20"/>
        </w:rPr>
      </w:pPr>
      <w:r>
        <w:rPr>
          <w:rFonts w:ascii="Times New Roman;sans-serif" w:hAnsi="Times New Roman;sans-serif"/>
          <w:b w:val="false"/>
          <w:color w:val="000000"/>
          <w:sz w:val="20"/>
        </w:rPr>
        <w:t>4893-9002-0587v.1 21478-4062 9/30/2024</w:t>
      </w:r>
    </w:p>
    <w:p>
      <w:pPr>
        <w:pStyle w:val="TextBody"/>
        <w:bidi w:val="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88925"/>
                <wp:effectExtent l="0" t="0" r="0" b="0"/>
                <wp:wrapNone/>
                <wp:docPr id="130" name="Frame12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Approved Georgia Industrial Lease Form</w:t>
                        <w:br/>
                        <w:t>Based On Master Lease Version</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Felix Lin,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444"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703"/>
        <w:gridCol w:w="1703"/>
        <w:gridCol w:w="242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Felix Lin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Felix Lin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President and Chief Operating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Cindy Yao,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18"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586"/>
        <w:gridCol w:w="586"/>
        <w:gridCol w:w="837"/>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Cindy Yao</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Executive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September 30, 2024 as filed with the Securities and Exchange Commission on the date hereof (the “Report”), I, Felix Lin, Interim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8444"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703"/>
        <w:gridCol w:w="1703"/>
        <w:gridCol w:w="242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Felix Lin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Felix Lin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President and Chief Operating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Financial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September 30, 2024 as filed with the Securities and Exchange Commission on the date hereof (the “Report”), I, Cindy Yao, Chief Financial Officer,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618"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586"/>
        <w:gridCol w:w="586"/>
        <w:gridCol w:w="837"/>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Cindy Yao</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0873/000143774919021487/ex_162902.htm" TargetMode="External"/><Relationship Id="rId3" Type="http://schemas.openxmlformats.org/officeDocument/2006/relationships/hyperlink" Target="https://www.sec.gov/Archives/edgar/data/1680873/000143774919021487/ex_162902.htm" TargetMode="External"/><Relationship Id="rId4" Type="http://schemas.openxmlformats.org/officeDocument/2006/relationships/hyperlink" Target="https://www.sec.gov/Archives/edgar/data/1680873/000161577418008665/s112256ex3_1-2.htm" TargetMode="External"/><Relationship Id="rId5" Type="http://schemas.openxmlformats.org/officeDocument/2006/relationships/hyperlink" Target="https://www.sec.gov/Archives/edgar/data/1680873/000161577418008665/s112256ex3_1-2.htm" TargetMode="External"/><Relationship Id="rId6" Type="http://schemas.openxmlformats.org/officeDocument/2006/relationships/hyperlink" Target="https://www.sec.gov/Archives/edgar/data/1680873/000168087322000056/ex302-arbylawsxnovember2022.htm" TargetMode="External"/><Relationship Id="rId7" Type="http://schemas.openxmlformats.org/officeDocument/2006/relationships/hyperlink" Target="https://www.sec.gov/Archives/edgar/data/1680873/000168087322000056/ex302-arbylawsxnovember2022.htm" TargetMode="External"/><Relationship Id="rId8" Type="http://schemas.openxmlformats.org/officeDocument/2006/relationships/hyperlink" Target="https://www.sec.gov/Archives/edgar/data/1680873/000168087323000016/exhibit31-bylawamendment.htm" TargetMode="External"/><Relationship Id="rId9" Type="http://schemas.openxmlformats.org/officeDocument/2006/relationships/hyperlink" Target="https://www.sec.gov/Archives/edgar/data/1680873/000168087323000016/exhibit31-bylawamendment.htm" TargetMode="External"/><Relationship Id="rId10" Type="http://schemas.openxmlformats.org/officeDocument/2006/relationships/hyperlink" Target="https://www.sec.gov/Archives/edgar/data/1680873/000119312523098200/d425223dex31.htm" TargetMode="External"/><Relationship Id="rId11" Type="http://schemas.openxmlformats.org/officeDocument/2006/relationships/hyperlink" Target="https://www.sec.gov/Archives/edgar/data/1680873/000119312523098200/d425223dex31.htm" TargetMode="External"/><Relationship Id="rId12" Type="http://schemas.openxmlformats.org/officeDocument/2006/relationships/hyperlink" Target="https://www.sec.gov/Archives/edgar/data/1680873/000161577417003872/s106920_ex4-2.htm" TargetMode="External"/><Relationship Id="rId13" Type="http://schemas.openxmlformats.org/officeDocument/2006/relationships/hyperlink" Target="https://www.sec.gov/Archives/edgar/data/1680873/000161577417003872/s106920_ex4-2.htm" TargetMode="External"/><Relationship Id="rId14" Type="http://schemas.openxmlformats.org/officeDocument/2006/relationships/hyperlink" Target="https://www.sec.gov/Archives/edgar/data/1680873/000161577417003872/s106920_ex4-5.htm" TargetMode="External"/><Relationship Id="rId15" Type="http://schemas.openxmlformats.org/officeDocument/2006/relationships/hyperlink" Target="https://www.sec.gov/Archives/edgar/data/1680873/000161577417003872/s106920_ex4-5.htm" TargetMode="External"/><Relationship Id="rId16" Type="http://schemas.openxmlformats.org/officeDocument/2006/relationships/hyperlink" Target="https://www.sec.gov/Archives/edgar/data/1680873/000168087324000013/exhibit42-8axa.htm" TargetMode="External"/><Relationship Id="rId17" Type="http://schemas.openxmlformats.org/officeDocument/2006/relationships/hyperlink" Target="https://www.sec.gov/Archives/edgar/data/1680873/000168087324000013/exhibit42-8axa.htm" TargetMode="External"/><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54087</Words>
  <Characters>292744</Characters>
  <CharactersWithSpaces>345872</CharactersWithSpaces>
  <Paragraphs>3426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