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r>
        <w:rPr>
          <w:color w:val="000000"/>
        </w:rPr>
        <w:t> </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160" w:after="283"/>
        <w:jc w:val="center"/>
        <w:rPr/>
      </w:pPr>
      <w:r>
        <w:rPr>
          <w:rFonts w:ascii="Times New Roman;sans-serif" w:hAnsi="Times New Roman;sans-serif"/>
          <w:b w:val="false"/>
          <w:color w:val="000000"/>
          <w:sz w:val="20"/>
        </w:rPr>
        <w:t xml:space="preserve">For the transition period from </w:t>
      </w:r>
      <w:r>
        <w:rPr>
          <w:rFonts w:ascii="Times New Roman;sans-serif" w:hAnsi="Times New Roman;sans-serif"/>
          <w:b w:val="false"/>
          <w:color w:val="000000"/>
          <w:sz w:val="12"/>
        </w:rPr>
        <w:t xml:space="preserve">_______________________ </w:t>
      </w:r>
      <w:r>
        <w:rPr>
          <w:rFonts w:ascii="Times New Roman;sans-serif" w:hAnsi="Times New Roman;sans-serif"/>
          <w:b w:val="false"/>
          <w:color w:val="000000"/>
          <w:sz w:val="20"/>
        </w:rPr>
        <w:t xml:space="preserve">to </w:t>
      </w:r>
      <w:r>
        <w:rPr>
          <w:rFonts w:ascii="Times New Roman;sans-serif" w:hAnsi="Times New Roman;sans-serif"/>
          <w:b w:val="false"/>
          <w:color w:val="000000"/>
          <w:sz w:val="12"/>
        </w:rPr>
        <w:t>_______________________</w:t>
      </w:r>
      <w:r>
        <w:rPr>
          <w:rFonts w:ascii="Times New Roman;sans-serif" w:hAnsi="Times New Roman;sans-serif"/>
          <w:b w:val="false"/>
          <w:color w:val="000000"/>
          <w:sz w:val="20"/>
        </w:rPr>
        <w:t>.</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HF FOODS GROUP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left"/>
        <w:tblInd w:w="0" w:type="dxa"/>
        <w:tblCellMar>
          <w:top w:w="28" w:type="dxa"/>
          <w:left w:w="28" w:type="dxa"/>
          <w:bottom w:w="28" w:type="dxa"/>
          <w:right w:w="28" w:type="dxa"/>
        </w:tblCellMar>
      </w:tblPr>
      <w:tblGrid>
        <w:gridCol w:w="1799"/>
        <w:gridCol w:w="1581"/>
        <w:gridCol w:w="1585"/>
        <w:gridCol w:w="886"/>
        <w:gridCol w:w="886"/>
        <w:gridCol w:w="1257"/>
      </w:tblGrid>
      <w:tr>
        <w:trPr/>
        <w:tc>
          <w:tcPr>
            <w:tcW w:w="1799"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7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4"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6325 South Rainbow Boulevard, Suite 420, Las Vegas, NV 89118</w:t>
            </w:r>
          </w:p>
        </w:tc>
      </w:tr>
      <w:tr>
        <w:trPr/>
        <w:tc>
          <w:tcPr>
            <w:tcW w:w="799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(888) 905-0988</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3" w:type="dxa"/>
        <w:jc w:val="left"/>
        <w:tblInd w:w="0" w:type="dxa"/>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r>
        <w:trPr/>
        <w:tc>
          <w:tcPr>
            <w:tcW w:w="293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4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spacing w:lineRule="auto" w:line="288" w:before="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26" w:type="dxa"/>
        <w:jc w:val="left"/>
        <w:tblInd w:w="0" w:type="dxa"/>
        <w:tblCellMar>
          <w:top w:w="28" w:type="dxa"/>
          <w:left w:w="28" w:type="dxa"/>
          <w:bottom w:w="28" w:type="dxa"/>
          <w:right w:w="28" w:type="dxa"/>
        </w:tblCellMar>
      </w:tblPr>
      <w:tblGrid>
        <w:gridCol w:w="695"/>
        <w:gridCol w:w="611"/>
        <w:gridCol w:w="613"/>
        <w:gridCol w:w="125"/>
        <w:gridCol w:w="125"/>
        <w:gridCol w:w="126"/>
        <w:gridCol w:w="769"/>
        <w:gridCol w:w="769"/>
        <w:gridCol w:w="772"/>
        <w:gridCol w:w="123"/>
        <w:gridCol w:w="123"/>
        <w:gridCol w:w="17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As of May 5, 2023, the registrant had 54,086,164 shares of common stock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before="240"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554" w:type="dxa"/>
        <w:jc w:val="left"/>
        <w:tblInd w:w="0" w:type="dxa"/>
        <w:tblCellMar>
          <w:top w:w="28" w:type="dxa"/>
          <w:left w:w="28" w:type="dxa"/>
          <w:bottom w:w="28" w:type="dxa"/>
          <w:right w:w="28" w:type="dxa"/>
        </w:tblCellMar>
      </w:tblPr>
      <w:tblGrid>
        <w:gridCol w:w="320"/>
        <w:gridCol w:w="281"/>
        <w:gridCol w:w="283"/>
        <w:gridCol w:w="2682"/>
        <w:gridCol w:w="2682"/>
        <w:gridCol w:w="2735"/>
        <w:gridCol w:w="167"/>
        <w:gridCol w:w="167"/>
        <w:gridCol w:w="237"/>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9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9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
              <w:r>
                <w:rPr>
                  <w:rStyle w:val="InternetLink"/>
                  <w:rFonts w:ascii="Times New Roman;sans-serif" w:hAnsi="Times New Roman;sans-serif"/>
                  <w:b/>
                  <w:strike w:val="false"/>
                  <w:dstrike w:val="false"/>
                  <w:color w:val="000000"/>
                  <w:sz w:val="20"/>
                  <w:u w:val="none"/>
                  <w:effect w:val="none"/>
                </w:rPr>
                <w:t>PART I.</w:t>
              </w:r>
            </w:hyperlink>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811">
              <w:r>
                <w:rPr>
                  <w:rStyle w:val="InternetLink"/>
                  <w:rFonts w:ascii="Times New Roman;sans-serif" w:hAnsi="Times New Roman;sans-serif"/>
                  <w:b/>
                  <w:strike w:val="false"/>
                  <w:dstrike w:val="false"/>
                  <w:color w:val="000000"/>
                  <w:sz w:val="20"/>
                  <w:u w:val="none"/>
                  <w:effect w:val="none"/>
                </w:rPr>
                <w:t>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79">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79">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91">
              <w:r>
                <w:rPr>
                  <w:rStyle w:val="InternetLink"/>
                  <w:rFonts w:ascii="Times New Roman;sans-serif" w:hAnsi="Times New Roman;sans-serif"/>
                  <w:b w:val="false"/>
                  <w:strike w:val="false"/>
                  <w:dstrike w:val="false"/>
                  <w:color w:val="000000"/>
                  <w:sz w:val="20"/>
                  <w:u w:val="none"/>
                  <w:effect w:val="non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91">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97">
              <w:r>
                <w:rPr>
                  <w:rStyle w:val="InternetLink"/>
                  <w:rFonts w:ascii="Times New Roman;sans-serif" w:hAnsi="Times New Roman;sans-serif"/>
                  <w:b w:val="false"/>
                  <w:strike w:val="false"/>
                  <w:dstrike w:val="false"/>
                  <w:color w:val="000000"/>
                  <w:sz w:val="20"/>
                  <w:u w:val="none"/>
                  <w:effect w:val="none"/>
                </w:rPr>
                <w:t>Condensed Consolidated Statements of Operations and Comprehensive</w:t>
              </w:r>
            </w:hyperlink>
            <w:r>
              <w:rPr>
                <w:rFonts w:ascii="Times New Roman;sans-serif" w:hAnsi="Times New Roman;sans-serif"/>
                <w:b w:val="false"/>
                <w:color w:val="000000"/>
                <w:sz w:val="20"/>
              </w:rPr>
              <w:t xml:space="preserve"> (Loss)</w:t>
            </w:r>
            <w:hyperlink w:anchor="idbd28bafe7e34d88ab4a0adc4040bcb1_97">
              <w:r>
                <w:rPr>
                  <w:rStyle w:val="InternetLink"/>
                  <w:rFonts w:ascii="Times New Roman;sans-serif" w:hAnsi="Times New Roman;sans-serif"/>
                  <w:b w:val="false"/>
                  <w:strike w:val="false"/>
                  <w:dstrike w:val="false"/>
                  <w:color w:val="000000"/>
                  <w:sz w:val="20"/>
                  <w:u w:val="none"/>
                  <w:effect w:val="none"/>
                </w:rPr>
                <w:t xml:space="preserve"> Income</w:t>
              </w:r>
            </w:hyperlink>
            <w:r>
              <w:rPr>
                <w:rFonts w:ascii="Times New Roman;sans-serif" w:hAnsi="Times New Roman;sans-serif"/>
                <w:b w:val="false"/>
                <w:color w:val="000000"/>
                <w:sz w:val="20"/>
              </w:rPr>
              <w:t xml:space="preserve"> </w:t>
            </w:r>
            <w:hyperlink w:anchor="idbd28bafe7e34d88ab4a0adc4040bcb1_22">
              <w:r>
                <w:rPr>
                  <w:rStyle w:val="InternetLink"/>
                  <w:rFonts w:ascii="Times New Roman;sans-serif" w:hAnsi="Times New Roman;sans-serif"/>
                  <w:b w:val="false"/>
                  <w:strike w:val="false"/>
                  <w:dstrike w:val="false"/>
                  <w:color w:val="000000"/>
                  <w:sz w:val="20"/>
                  <w:u w:val="none"/>
                  <w:effect w:val="none"/>
                </w:rPr>
                <w:t>(Unaudited)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97">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0">
              <w:r>
                <w:rPr>
                  <w:rStyle w:val="InternetLink"/>
                  <w:rFonts w:ascii="Times New Roman;sans-serif" w:hAnsi="Times New Roman;sans-serif"/>
                  <w:b w:val="false"/>
                  <w:strike w:val="false"/>
                  <w:dstrike w:val="false"/>
                  <w:color w:val="000000"/>
                  <w:sz w:val="20"/>
                  <w:u w:val="none"/>
                  <w:effect w:val="none"/>
                </w:rPr>
                <w:t>Condensed Consolidated Statements of Cash Flows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100">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3">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103">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6">
              <w:r>
                <w:rPr>
                  <w:rStyle w:val="InternetLink"/>
                  <w:rFonts w:ascii="Times New Roman;sans-serif" w:hAnsi="Times New Roman;sans-serif"/>
                  <w:b w:val="false"/>
                  <w:strike w:val="false"/>
                  <w:dstrike w:val="false"/>
                  <w:color w:val="000000"/>
                  <w:sz w:val="20"/>
                  <w:u w:val="none"/>
                  <w:effect w:val="non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10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3">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13">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Q</w:t>
            </w:r>
            <w:hyperlink w:anchor="idbd28bafe7e34d88ab4a0adc4040bcb1_76">
              <w:r>
                <w:rPr>
                  <w:rStyle w:val="InternetLink"/>
                  <w:rFonts w:ascii="Times New Roman;sans-serif" w:hAnsi="Times New Roman;sans-serif"/>
                  <w:b w:val="false"/>
                  <w:strike w:val="false"/>
                  <w:dstrike w:val="false"/>
                  <w:color w:val="000000"/>
                  <w:sz w:val="20"/>
                  <w:u w:val="none"/>
                  <w:effect w:val="none"/>
                </w:rPr>
                <w:t>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76">
              <w:r>
                <w:rPr>
                  <w:rStyle w:val="InternetLink"/>
                  <w:rFonts w:ascii="Times New Roman;sans-serif" w:hAnsi="Times New Roman;sans-serif"/>
                  <w:b w:val="false"/>
                  <w:strike w:val="false"/>
                  <w:dstrike w:val="false"/>
                  <w:color w:val="000000"/>
                  <w:sz w:val="20"/>
                  <w:u w:val="none"/>
                  <w:effect w:val="none"/>
                </w:rPr>
                <w:t>27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97">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14">
              <w:r>
                <w:rPr>
                  <w:rStyle w:val="InternetLink"/>
                  <w:rFonts w:ascii="Times New Roman;sans-serif" w:hAnsi="Times New Roman;sans-serif"/>
                  <w:b w:val="false"/>
                  <w:strike w:val="false"/>
                  <w:dstrike w:val="false"/>
                  <w:color w:val="000000"/>
                  <w:sz w:val="20"/>
                  <w:u w:val="none"/>
                  <w:effect w:val="none"/>
                </w:rPr>
                <w:t>27</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0">
              <w:r>
                <w:rPr>
                  <w:rStyle w:val="InternetLink"/>
                  <w:rFonts w:ascii="Times New Roman;sans-serif" w:hAnsi="Times New Roman;sans-serif"/>
                  <w:b/>
                  <w:strike w:val="false"/>
                  <w:dstrike w:val="false"/>
                  <w:color w:val="000000"/>
                  <w:sz w:val="20"/>
                  <w:u w:val="none"/>
                  <w:effect w:val="none"/>
                </w:rPr>
                <w:t>PART II.</w:t>
              </w:r>
            </w:hyperlink>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00">
              <w:r>
                <w:rPr>
                  <w:rStyle w:val="InternetLink"/>
                  <w:rFonts w:ascii="Times New Roman;sans-serif" w:hAnsi="Times New Roman;sans-serif"/>
                  <w:b/>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w:t>
            </w:r>
            <w:hyperlink w:anchor="idbd28bafe7e34d88ab4a0adc4040bcb1_31">
              <w:r>
                <w:rPr>
                  <w:rStyle w:val="InternetLink"/>
                  <w:rFonts w:ascii="Times New Roman;sans-serif" w:hAnsi="Times New Roman;sans-serif"/>
                  <w:b w:val="false"/>
                  <w:strike w:val="false"/>
                  <w:dstrike w:val="false"/>
                  <w:color w:val="000000"/>
                  <w:sz w:val="20"/>
                  <w:u w:val="none"/>
                  <w:effect w:val="none"/>
                </w:rPr>
                <w:t>egal Proceedings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35">
              <w:r>
                <w:rPr>
                  <w:rStyle w:val="InternetLink"/>
                  <w:rFonts w:ascii="Times New Roman;sans-serif" w:hAnsi="Times New Roman;sans-serif"/>
                  <w:b w:val="false"/>
                  <w:strike w:val="false"/>
                  <w:dstrike w:val="false"/>
                  <w:color w:val="000000"/>
                  <w:sz w:val="20"/>
                  <w:u w:val="none"/>
                  <w:effect w:val="non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22">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41">
              <w:r>
                <w:rPr>
                  <w:rStyle w:val="InternetLink"/>
                  <w:rFonts w:ascii="Times New Roman;sans-serif" w:hAnsi="Times New Roman;sans-serif"/>
                  <w:b w:val="false"/>
                  <w:strike w:val="false"/>
                  <w:dstrike w:val="false"/>
                  <w:color w:val="000000"/>
                  <w:sz w:val="20"/>
                  <w:u w:val="none"/>
                  <w:effect w:val="none"/>
                </w:rPr>
                <w:t>29</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56">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112">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64">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34">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71">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217">
              <w:r>
                <w:rPr>
                  <w:rStyle w:val="InternetLink"/>
                  <w:rFonts w:ascii="Times New Roman;sans-serif" w:hAnsi="Times New Roman;sans-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78">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262">
              <w:r>
                <w:rPr>
                  <w:rStyle w:val="InternetLink"/>
                  <w:rFonts w:ascii="Times New Roman;sans-serif" w:hAnsi="Times New Roman;sans-serif"/>
                  <w:b w:val="false"/>
                  <w:strike w:val="false"/>
                  <w:dstrike w:val="false"/>
                  <w:color w:val="000000"/>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62">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bd28bafe7e34d88ab4a0adc4040bcb1_268">
              <w:r>
                <w:rPr>
                  <w:rStyle w:val="InternetLink"/>
                  <w:rFonts w:ascii="Times New Roman;sans-serif" w:hAnsi="Times New Roman;sans-serif"/>
                  <w:b/>
                  <w:strike w:val="false"/>
                  <w:dstrike w:val="false"/>
                  <w:color w:val="000000"/>
                  <w:sz w:val="20"/>
                  <w:u w:val="none"/>
                  <w:effect w:val="none"/>
                </w:rPr>
                <w:t>SIGNATURE PAGE</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bd28bafe7e34d88ab4a0adc4040bcb1_2091">
              <w:r>
                <w:rPr>
                  <w:rStyle w:val="InternetLink"/>
                  <w:rFonts w:ascii="Times New Roman;sans-serif" w:hAnsi="Times New Roman;sans-serif"/>
                  <w:b w:val="false"/>
                  <w:strike w:val="false"/>
                  <w:dstrike w:val="false"/>
                  <w:color w:val="000000"/>
                  <w:sz w:val="20"/>
                  <w:u w:val="none"/>
                  <w:effect w:val="none"/>
                </w:rPr>
                <w:t>31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before="240"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915"/>
        <w:gridCol w:w="2235"/>
        <w:gridCol w:w="2251"/>
        <w:gridCol w:w="214"/>
        <w:gridCol w:w="824"/>
        <w:gridCol w:w="119"/>
        <w:gridCol w:w="109"/>
        <w:gridCol w:w="109"/>
        <w:gridCol w:w="109"/>
        <w:gridCol w:w="234"/>
        <w:gridCol w:w="898"/>
        <w:gridCol w:w="188"/>
      </w:tblGrid>
      <w:tr>
        <w:trPr/>
        <w:tc>
          <w:tcPr>
            <w:tcW w:w="2915"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7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179,369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197,916</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138,984 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155,106 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 intangibles, net</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613,379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637,529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55,515 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145,292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163,890</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114,047 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321,865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341,280</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 shares authorized, no shares issued and outstanding as of March 31, 2023 and December 31, 2022</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100,000,000 shares authorized, 53,844,492 shares issued and outstanding as of March 31, 2023 and 53,813,777 shares issued and outstanding as of December 31, 2022</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598,322 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(312,447)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(306,514)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286,942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291,813</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291,514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296,249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613,379</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637,529</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36270"/>
                <wp:effectExtent l="0" t="0" r="0" b="0"/>
                <wp:wrapNone/>
                <wp:docPr id="3" name="Frame3"/>
                <a:graphic xmlns:a="http://schemas.openxmlformats.org/drawingml/2006/main">
                  <a:graphicData uri="http://schemas.microsoft.com/office/word/2010/wordprocessingShape">
                    <wps:wsp>
                      <wps:cNvSpPr txBox="1"/>
                      <wps:spPr>
                        <a:xfrm>
                          <a:off x="0" y="0"/>
                          <a:ext cx="6480175" cy="636270"/>
                        </a:xfrm>
                        <a:prstGeom prst="rect"/>
                      </wps:spPr>
                      <wps:txbx>
                        <w:txbxContent>
                          <w:p>
                            <w:pPr>
                              <w:pStyle w:val="TextBody"/>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543"/>
        <w:gridCol w:w="1851"/>
        <w:gridCol w:w="1858"/>
        <w:gridCol w:w="109"/>
        <w:gridCol w:w="109"/>
        <w:gridCol w:w="176"/>
        <w:gridCol w:w="176"/>
        <w:gridCol w:w="335"/>
        <w:gridCol w:w="1193"/>
        <w:gridCol w:w="176"/>
        <w:gridCol w:w="109"/>
        <w:gridCol w:w="109"/>
        <w:gridCol w:w="109"/>
        <w:gridCol w:w="205"/>
        <w:gridCol w:w="771"/>
        <w:gridCol w:w="109"/>
        <w:gridCol w:w="109"/>
        <w:gridCol w:w="158"/>
      </w:tblGrid>
      <w:tr>
        <w:trPr/>
        <w:tc>
          <w:tcPr>
            <w:tcW w:w="2543"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79" w:type="dxa"/>
            <w:gridSpan w:val="8"/>
            <w:tcBorders/>
            <w:shd w:fill="auto" w:val="clear"/>
          </w:tcPr>
          <w:p>
            <w:pPr>
              <w:pStyle w:val="TableContents"/>
              <w:spacing w:before="0" w:after="283"/>
              <w:rPr>
                <w:sz w:val="4"/>
                <w:szCs w:val="4"/>
              </w:rPr>
            </w:pPr>
            <w:r>
              <w:rPr>
                <w:sz w:val="4"/>
                <w:szCs w:val="4"/>
              </w:rPr>
            </w:r>
          </w:p>
        </w:tc>
      </w:tr>
      <w:tr>
        <w:trPr/>
        <w:tc>
          <w:tcPr>
            <w:tcW w:w="6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293,855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278,215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241,457 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243,683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227,488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50,172</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50,727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(2,757)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expenses,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5,266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(8,023)</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4,244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provision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(LOSS) INCOME AND COMPREHENSIVE INCOME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(5,797)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INCOME (LOSS) ATTRIBUTABLE TO HF FOODS GROUP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(5,933)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(0.11)</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0.06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53,822,794</w:t>
            </w:r>
            <w:r>
              <w:rPr>
                <w:color w:val="000000"/>
              </w:rPr>
              <w:t>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53,706,392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53,822,794</w:t>
            </w:r>
            <w:r>
              <w:rPr>
                <w:color w:val="000000"/>
              </w:rPr>
              <w:t>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53,884,510</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73" w:type="dxa"/>
        <w:jc w:val="center"/>
        <w:tblInd w:w="0" w:type="dxa"/>
        <w:tblCellMar>
          <w:top w:w="28" w:type="dxa"/>
          <w:left w:w="28" w:type="dxa"/>
          <w:bottom w:w="28" w:type="dxa"/>
          <w:right w:w="28" w:type="dxa"/>
        </w:tblCellMar>
      </w:tblPr>
      <w:tblGrid>
        <w:gridCol w:w="2440"/>
        <w:gridCol w:w="2139"/>
        <w:gridCol w:w="2155"/>
        <w:gridCol w:w="223"/>
        <w:gridCol w:w="755"/>
        <w:gridCol w:w="124"/>
        <w:gridCol w:w="124"/>
        <w:gridCol w:w="124"/>
        <w:gridCol w:w="124"/>
        <w:gridCol w:w="223"/>
        <w:gridCol w:w="755"/>
        <w:gridCol w:w="124"/>
        <w:gridCol w:w="109"/>
        <w:gridCol w:w="154"/>
      </w:tblGrid>
      <w:tr>
        <w:trPr/>
        <w:tc>
          <w:tcPr>
            <w:tcW w:w="2440"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(5,797)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3,140</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income to net cash provided by operating activities:</w:t>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 (excluding effects of acquisitions):</w:t>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12,570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10,113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Great Wall Group</w:t>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(629)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(19,932)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281,616 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(306,808)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financing costs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noncontrolling interests shareholders</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to shareholders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(18,753)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11,453</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(6,812)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1,634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24,289</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14,792</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17,477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16,426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data:</w:t>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via a finance lease</w:t>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acquired in exchange for noncontrolling interests</w:t>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4"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2174" w:type="dxa"/>
        <w:jc w:val="center"/>
        <w:tblInd w:w="0" w:type="dxa"/>
        <w:tblCellMar>
          <w:top w:w="28" w:type="dxa"/>
          <w:left w:w="28" w:type="dxa"/>
          <w:bottom w:w="28" w:type="dxa"/>
          <w:right w:w="28" w:type="dxa"/>
        </w:tblCellMar>
      </w:tblPr>
      <w:tblGrid>
        <w:gridCol w:w="607"/>
        <w:gridCol w:w="244"/>
        <w:gridCol w:w="245"/>
        <w:gridCol w:w="488"/>
        <w:gridCol w:w="488"/>
        <w:gridCol w:w="211"/>
        <w:gridCol w:w="109"/>
        <w:gridCol w:w="109"/>
        <w:gridCol w:w="109"/>
        <w:gridCol w:w="262"/>
        <w:gridCol w:w="342"/>
        <w:gridCol w:w="147"/>
        <w:gridCol w:w="109"/>
        <w:gridCol w:w="109"/>
        <w:gridCol w:w="109"/>
        <w:gridCol w:w="109"/>
        <w:gridCol w:w="109"/>
        <w:gridCol w:w="931"/>
        <w:gridCol w:w="109"/>
        <w:gridCol w:w="220"/>
        <w:gridCol w:w="843"/>
        <w:gridCol w:w="123"/>
        <w:gridCol w:w="109"/>
        <w:gridCol w:w="109"/>
        <w:gridCol w:w="109"/>
        <w:gridCol w:w="220"/>
        <w:gridCol w:w="843"/>
        <w:gridCol w:w="123"/>
        <w:gridCol w:w="109"/>
        <w:gridCol w:w="109"/>
        <w:gridCol w:w="109"/>
        <w:gridCol w:w="234"/>
        <w:gridCol w:w="896"/>
        <w:gridCol w:w="131"/>
        <w:gridCol w:w="109"/>
        <w:gridCol w:w="109"/>
        <w:gridCol w:w="109"/>
        <w:gridCol w:w="265"/>
        <w:gridCol w:w="773"/>
        <w:gridCol w:w="148"/>
        <w:gridCol w:w="109"/>
        <w:gridCol w:w="109"/>
        <w:gridCol w:w="109"/>
        <w:gridCol w:w="196"/>
        <w:gridCol w:w="751"/>
        <w:gridCol w:w="154"/>
      </w:tblGrid>
      <w:tr>
        <w:trPr/>
        <w:tc>
          <w:tcPr>
            <w:tcW w:w="60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br/>
              <w:t>Attributable to</w:t>
              <w:br/>
              <w:t>HF Foods</w:t>
              <w:br/>
              <w:t>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c>
          <w:tcPr>
            <w:tcW w:w="1428" w:type="dxa"/>
            <w:gridSpan w:val="6"/>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597,227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(306,284)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290,948</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294,989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adoption of CECL (ASU 2016-13)</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597,227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(306,974)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290,258</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294,299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by shareholders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597,517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(303,860)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293,662</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4,784</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298,446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2023</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53,813,777</w:t>
            </w: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w:t>
            </w: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598,322</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(306,514)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291,813</w:t>
            </w: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4,436</w:t>
            </w: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296,249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53,844,492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599,384</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(312,447)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286,942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4,572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291,514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for additional information on the Sealand acquisition.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for interim financial information pursuant to the rules and regulations of the SEC and have been consistently applied. In the opinion of management, all adjustments (consisting of normal recurring accruals) considered necessary for a fair presentation have been included. These financial statements are condensed and should be read in conjunction with the audited financial statements and notes thereto for the fiscal years ended December 31, 2022 and 2021. Operating results for the three months ended March 31, 2023 are not necessarily indicative of the results that may be expected for the year ending December 31, 2023.</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HF Group and a variable interest entity for which the Company is the primary beneficiary. All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income (loss) equal to the percentage of the economic or ownership interest retained in such entity by the respective noncontrolling party.</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VIEs and financial reporting for entities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8, 2022, FUSO Trucking LLC, a VIE for which the Company was the primary beneficiary and consolidated, was dissolved. The Company also has a VIE, AnHeart, Inc. (“AnHeart”), for which the Company is not the primary beneficiary and therefore does not consolidate. The Company did not incur expenses from VIEs and did not have any sales to or income from any VIEs during the three months ended March 31, 2023 and 2022. See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 xml:space="preserve">for additional information on AnHeart.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noncontrolling interest equity consisted of the following:</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93"/>
        <w:gridCol w:w="865"/>
        <w:gridCol w:w="870"/>
        <w:gridCol w:w="109"/>
        <w:gridCol w:w="109"/>
        <w:gridCol w:w="109"/>
        <w:gridCol w:w="759"/>
        <w:gridCol w:w="758"/>
        <w:gridCol w:w="1891"/>
        <w:gridCol w:w="109"/>
        <w:gridCol w:w="109"/>
        <w:gridCol w:w="109"/>
        <w:gridCol w:w="312"/>
        <w:gridCol w:w="915"/>
        <w:gridCol w:w="161"/>
        <w:gridCol w:w="109"/>
        <w:gridCol w:w="109"/>
        <w:gridCol w:w="109"/>
        <w:gridCol w:w="364"/>
        <w:gridCol w:w="1063"/>
        <w:gridCol w:w="273"/>
      </w:tblGrid>
      <w:tr>
        <w:trPr/>
        <w:tc>
          <w:tcPr>
            <w:tcW w:w="993"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27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27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Industrial, LLC ("HFFI")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8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West Food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8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Syncglobal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allowance for expected credit losses, inventory reserves, useful lives of property and equipment, lease assumptions, impairment of long-lived assets, impairment of long-term investments,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all new pronouncements that are in effect and that may impact its condensed consolidated financial statements and does not believe that there are any other new accounting pronouncements that have been issued that might have a material impact on its condensed consolidated financial statements or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revenue recognized from performance obligations related to prior periods was immaterial. Revenue expected to be recognized in any future periods related to remaining performance obligations is immaterial.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p>
      <w:pPr>
        <w:pStyle w:val="TextBody"/>
        <w:spacing w:before="0" w:after="0"/>
        <w:jc w:val="both"/>
        <w:rPr/>
      </w:pPr>
      <w:r>
        <w:rPr/>
      </w:r>
    </w:p>
    <w:tbl>
      <w:tblPr>
        <w:tblW w:w="6934" w:type="dxa"/>
        <w:jc w:val="left"/>
        <w:tblInd w:w="0" w:type="dxa"/>
        <w:tblCellMar>
          <w:top w:w="28" w:type="dxa"/>
          <w:left w:w="28" w:type="dxa"/>
          <w:bottom w:w="28" w:type="dxa"/>
          <w:right w:w="28" w:type="dxa"/>
        </w:tblCellMar>
      </w:tblPr>
      <w:tblGrid>
        <w:gridCol w:w="656"/>
        <w:gridCol w:w="578"/>
        <w:gridCol w:w="58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spacing w:before="0" w:after="0"/>
        <w:rPr/>
      </w:pPr>
      <w:r>
        <w:rPr/>
      </w:r>
    </w:p>
    <w:tbl>
      <w:tblPr>
        <w:tblW w:w="7031" w:type="dxa"/>
        <w:jc w:val="left"/>
        <w:tblInd w:w="0" w:type="dxa"/>
        <w:tblCellMar>
          <w:top w:w="28" w:type="dxa"/>
          <w:left w:w="28" w:type="dxa"/>
          <w:bottom w:w="28" w:type="dxa"/>
          <w:right w:w="28" w:type="dxa"/>
        </w:tblCellMar>
      </w:tblPr>
      <w:tblGrid>
        <w:gridCol w:w="1264"/>
        <w:gridCol w:w="1112"/>
        <w:gridCol w:w="1118"/>
        <w:gridCol w:w="292"/>
        <w:gridCol w:w="998"/>
        <w:gridCol w:w="150"/>
        <w:gridCol w:w="109"/>
        <w:gridCol w:w="109"/>
        <w:gridCol w:w="109"/>
        <w:gridCol w:w="344"/>
        <w:gridCol w:w="1175"/>
        <w:gridCol w:w="251"/>
      </w:tblGrid>
      <w:tr>
        <w:trPr/>
        <w:tc>
          <w:tcPr>
            <w:tcW w:w="1264"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spacing w:before="0" w:after="0"/>
        <w:rPr/>
      </w:pPr>
      <w:r>
        <w:rPr/>
      </w:r>
    </w:p>
    <w:tbl>
      <w:tblPr>
        <w:tblW w:w="7593" w:type="dxa"/>
        <w:jc w:val="left"/>
        <w:tblInd w:w="0" w:type="dxa"/>
        <w:tblCellMar>
          <w:top w:w="28" w:type="dxa"/>
          <w:left w:w="28" w:type="dxa"/>
          <w:bottom w:w="28" w:type="dxa"/>
          <w:right w:w="28" w:type="dxa"/>
        </w:tblCellMar>
      </w:tblPr>
      <w:tblGrid>
        <w:gridCol w:w="1719"/>
        <w:gridCol w:w="1514"/>
        <w:gridCol w:w="1522"/>
        <w:gridCol w:w="247"/>
        <w:gridCol w:w="723"/>
        <w:gridCol w:w="127"/>
        <w:gridCol w:w="127"/>
        <w:gridCol w:w="127"/>
        <w:gridCol w:w="127"/>
        <w:gridCol w:w="247"/>
        <w:gridCol w:w="723"/>
        <w:gridCol w:w="127"/>
        <w:gridCol w:w="109"/>
        <w:gridCol w:w="154"/>
      </w:tblGrid>
      <w:tr>
        <w:trPr/>
        <w:tc>
          <w:tcPr>
            <w:tcW w:w="1719"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CECL standard</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spacing w:before="0" w:after="0"/>
        <w:jc w:val="both"/>
        <w:rPr/>
      </w:pPr>
      <w:r>
        <w:rPr/>
      </w:r>
    </w:p>
    <w:tbl>
      <w:tblPr>
        <w:tblW w:w="6220" w:type="dxa"/>
        <w:jc w:val="left"/>
        <w:tblInd w:w="0" w:type="dxa"/>
        <w:tblCellMar>
          <w:top w:w="28" w:type="dxa"/>
          <w:left w:w="28" w:type="dxa"/>
          <w:bottom w:w="28" w:type="dxa"/>
          <w:right w:w="28" w:type="dxa"/>
        </w:tblCellMar>
      </w:tblPr>
      <w:tblGrid>
        <w:gridCol w:w="997"/>
        <w:gridCol w:w="877"/>
        <w:gridCol w:w="810"/>
        <w:gridCol w:w="265"/>
        <w:gridCol w:w="1038"/>
        <w:gridCol w:w="137"/>
        <w:gridCol w:w="109"/>
        <w:gridCol w:w="109"/>
        <w:gridCol w:w="109"/>
        <w:gridCol w:w="313"/>
        <w:gridCol w:w="1228"/>
        <w:gridCol w:w="228"/>
      </w:tblGrid>
      <w:tr>
        <w:trPr/>
        <w:tc>
          <w:tcPr>
            <w:tcW w:w="99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30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0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30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0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(48,473)</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$2.6 million and $2.2 million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spacing w:before="0" w:after="0"/>
        <w:jc w:val="both"/>
        <w:rPr/>
      </w:pPr>
      <w:r>
        <w:rPr/>
      </w:r>
    </w:p>
    <w:tbl>
      <w:tblPr>
        <w:tblW w:w="10190" w:type="dxa"/>
        <w:jc w:val="left"/>
        <w:tblInd w:w="0" w:type="dxa"/>
        <w:tblCellMar>
          <w:top w:w="28" w:type="dxa"/>
          <w:left w:w="28" w:type="dxa"/>
          <w:bottom w:w="28" w:type="dxa"/>
          <w:right w:w="28" w:type="dxa"/>
        </w:tblCellMar>
      </w:tblPr>
      <w:tblGrid>
        <w:gridCol w:w="1432"/>
        <w:gridCol w:w="1261"/>
        <w:gridCol w:w="1266"/>
        <w:gridCol w:w="789"/>
        <w:gridCol w:w="789"/>
        <w:gridCol w:w="791"/>
        <w:gridCol w:w="109"/>
        <w:gridCol w:w="109"/>
        <w:gridCol w:w="109"/>
        <w:gridCol w:w="324"/>
        <w:gridCol w:w="948"/>
        <w:gridCol w:w="167"/>
        <w:gridCol w:w="109"/>
        <w:gridCol w:w="109"/>
        <w:gridCol w:w="109"/>
        <w:gridCol w:w="380"/>
        <w:gridCol w:w="1110"/>
        <w:gridCol w:w="279"/>
      </w:tblGrid>
      <w:tr>
        <w:trPr/>
        <w:tc>
          <w:tcPr>
            <w:tcW w:w="143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as of March 31, 2023 and December 31, 2022 for these investments.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spacing w:before="0" w:after="0"/>
        <w:rPr/>
      </w:pPr>
      <w:r>
        <w:rPr/>
      </w:r>
    </w:p>
    <w:tbl>
      <w:tblPr>
        <w:tblW w:w="7508" w:type="dxa"/>
        <w:jc w:val="left"/>
        <w:tblInd w:w="0" w:type="dxa"/>
        <w:tblCellMar>
          <w:top w:w="28" w:type="dxa"/>
          <w:left w:w="28" w:type="dxa"/>
          <w:bottom w:w="28" w:type="dxa"/>
          <w:right w:w="28" w:type="dxa"/>
        </w:tblCellMar>
      </w:tblPr>
      <w:tblGrid>
        <w:gridCol w:w="1319"/>
        <w:gridCol w:w="1160"/>
        <w:gridCol w:w="1165"/>
        <w:gridCol w:w="109"/>
        <w:gridCol w:w="109"/>
        <w:gridCol w:w="109"/>
        <w:gridCol w:w="292"/>
        <w:gridCol w:w="998"/>
        <w:gridCol w:w="150"/>
        <w:gridCol w:w="109"/>
        <w:gridCol w:w="109"/>
        <w:gridCol w:w="109"/>
        <w:gridCol w:w="344"/>
        <w:gridCol w:w="1175"/>
        <w:gridCol w:w="251"/>
      </w:tblGrid>
      <w:tr>
        <w:trPr/>
        <w:tc>
          <w:tcPr>
            <w:tcW w:w="131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97"/>
        <w:gridCol w:w="212"/>
        <w:gridCol w:w="216"/>
        <w:gridCol w:w="231"/>
        <w:gridCol w:w="478"/>
        <w:gridCol w:w="128"/>
        <w:gridCol w:w="109"/>
        <w:gridCol w:w="109"/>
        <w:gridCol w:w="109"/>
        <w:gridCol w:w="212"/>
        <w:gridCol w:w="602"/>
        <w:gridCol w:w="118"/>
        <w:gridCol w:w="109"/>
        <w:gridCol w:w="109"/>
        <w:gridCol w:w="109"/>
        <w:gridCol w:w="271"/>
        <w:gridCol w:w="563"/>
        <w:gridCol w:w="152"/>
        <w:gridCol w:w="109"/>
        <w:gridCol w:w="109"/>
        <w:gridCol w:w="109"/>
        <w:gridCol w:w="196"/>
        <w:gridCol w:w="556"/>
        <w:gridCol w:w="109"/>
        <w:gridCol w:w="109"/>
        <w:gridCol w:w="109"/>
        <w:gridCol w:w="109"/>
        <w:gridCol w:w="231"/>
        <w:gridCol w:w="478"/>
        <w:gridCol w:w="128"/>
        <w:gridCol w:w="109"/>
        <w:gridCol w:w="109"/>
        <w:gridCol w:w="109"/>
        <w:gridCol w:w="234"/>
        <w:gridCol w:w="505"/>
        <w:gridCol w:w="132"/>
        <w:gridCol w:w="109"/>
        <w:gridCol w:w="109"/>
        <w:gridCol w:w="109"/>
        <w:gridCol w:w="271"/>
        <w:gridCol w:w="563"/>
        <w:gridCol w:w="152"/>
        <w:gridCol w:w="109"/>
        <w:gridCol w:w="109"/>
        <w:gridCol w:w="109"/>
        <w:gridCol w:w="196"/>
        <w:gridCol w:w="421"/>
        <w:gridCol w:w="164"/>
      </w:tblGrid>
      <w:tr>
        <w:trPr/>
        <w:tc>
          <w:tcPr>
            <w:tcW w:w="39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0"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w:t>
            </w:r>
          </w:p>
        </w:tc>
        <w:tc>
          <w:tcPr>
            <w:tcW w:w="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Liabilities:</w:t>
            </w:r>
          </w:p>
        </w:tc>
        <w:tc>
          <w:tcPr>
            <w:tcW w:w="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consolidated balance sheets for cash, accounts receivable, advances to suppliers, other current assets, accounts payable, checks issued not presented for payment and accrued expenses and other liabilities approximate their fair value based on the short-term maturity of these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8 -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of the Notes to the Unaudited Condensed Consolidated Financial Statements, including the current portion, as of the dates indicated:</w:t>
      </w:r>
    </w:p>
    <w:p>
      <w:pPr>
        <w:pStyle w:val="TextBody"/>
        <w:spacing w:before="0" w:after="0"/>
        <w:jc w:val="both"/>
        <w:rPr/>
      </w:pPr>
      <w:r>
        <w:rPr/>
      </w:r>
    </w:p>
    <w:tbl>
      <w:tblPr>
        <w:tblW w:w="7907" w:type="dxa"/>
        <w:jc w:val="left"/>
        <w:tblInd w:w="0" w:type="dxa"/>
        <w:tblCellMar>
          <w:top w:w="28" w:type="dxa"/>
          <w:left w:w="28" w:type="dxa"/>
          <w:bottom w:w="28" w:type="dxa"/>
          <w:right w:w="28" w:type="dxa"/>
        </w:tblCellMar>
      </w:tblPr>
      <w:tblGrid>
        <w:gridCol w:w="792"/>
        <w:gridCol w:w="697"/>
        <w:gridCol w:w="700"/>
        <w:gridCol w:w="109"/>
        <w:gridCol w:w="109"/>
        <w:gridCol w:w="109"/>
        <w:gridCol w:w="213"/>
        <w:gridCol w:w="411"/>
        <w:gridCol w:w="110"/>
        <w:gridCol w:w="109"/>
        <w:gridCol w:w="109"/>
        <w:gridCol w:w="109"/>
        <w:gridCol w:w="211"/>
        <w:gridCol w:w="826"/>
        <w:gridCol w:w="109"/>
        <w:gridCol w:w="109"/>
        <w:gridCol w:w="109"/>
        <w:gridCol w:w="109"/>
        <w:gridCol w:w="211"/>
        <w:gridCol w:w="616"/>
        <w:gridCol w:w="109"/>
        <w:gridCol w:w="109"/>
        <w:gridCol w:w="109"/>
        <w:gridCol w:w="109"/>
        <w:gridCol w:w="265"/>
        <w:gridCol w:w="1038"/>
        <w:gridCol w:w="137"/>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4" w:type="dxa"/>
            <w:tcBorders/>
            <w:shd w:fill="auto" w:val="clea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Sealand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finalized its purchase accounting as of December 31,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for the three months ended March 31, 2022 totaled approximately $0.3 million and were reflected in distribution, selling and administrative expenses in the condensed consolidated statement of operations and comprehensive income.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herein was prepared based on the allocation of the purchase price using estimates of the fair value of assets acquired and liabilities assumed which were determined using a combination of quoted market prices, discounted cash flows, and other estimates made by management. The Company finalized the valuation of assets acquired and liabilities assumed for the Sealand acquisition as of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paid to acquire the assets and liabilities of Sealand, as set forth below:</w:t>
      </w:r>
    </w:p>
    <w:p>
      <w:pPr>
        <w:pStyle w:val="TextBody"/>
        <w:spacing w:before="0" w:after="0"/>
        <w:jc w:val="both"/>
        <w:rPr/>
      </w:pPr>
      <w:r>
        <w:rPr/>
      </w:r>
    </w:p>
    <w:tbl>
      <w:tblPr>
        <w:tblW w:w="4134" w:type="dxa"/>
        <w:jc w:val="left"/>
        <w:tblInd w:w="0" w:type="dxa"/>
        <w:tblCellMar>
          <w:top w:w="28" w:type="dxa"/>
          <w:left w:w="28" w:type="dxa"/>
          <w:bottom w:w="28" w:type="dxa"/>
          <w:right w:w="28" w:type="dxa"/>
        </w:tblCellMar>
      </w:tblPr>
      <w:tblGrid>
        <w:gridCol w:w="1063"/>
        <w:gridCol w:w="936"/>
        <w:gridCol w:w="940"/>
        <w:gridCol w:w="109"/>
        <w:gridCol w:w="211"/>
        <w:gridCol w:w="721"/>
        <w:gridCol w:w="154"/>
      </w:tblGrid>
      <w:tr>
        <w:trPr/>
        <w:tc>
          <w:tcPr>
            <w:tcW w:w="106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acquired intangible assets of $14.7 million, which were measured at fair value using Level 3 inputs. These intangible assets include tradenames and trademarks of $4.4 million, customer relationships of $8.9 million and non-competition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non-competition agreements are three years, with a weighted average amortization period of approximately nine years. The associated goodwill is deductible for tax purposes.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Unaudited Supplemental Pro Forma Financial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unaudited pro forma results for the three months ended March 31, 2022 as if the acquisition of Sealand had been consummated on January 1, 2022. The unaudited pro forma financial information presented includes the effects of adjustments related to the amortization of acquired intangible assets and excludes other non-recurring transaction costs directly associated with the acquisition such as legal and other professional service fees. Statutory rates were used to calculate income taxes. </w:t>
      </w:r>
    </w:p>
    <w:p>
      <w:pPr>
        <w:pStyle w:val="TextBody"/>
        <w:spacing w:before="0" w:after="0"/>
        <w:jc w:val="both"/>
        <w:rPr/>
      </w:pPr>
      <w:r>
        <w:rPr/>
      </w:r>
    </w:p>
    <w:tbl>
      <w:tblPr>
        <w:tblW w:w="7460" w:type="dxa"/>
        <w:jc w:val="left"/>
        <w:tblInd w:w="0" w:type="dxa"/>
        <w:tblCellMar>
          <w:top w:w="28" w:type="dxa"/>
          <w:left w:w="28" w:type="dxa"/>
          <w:bottom w:w="28" w:type="dxa"/>
          <w:right w:w="28" w:type="dxa"/>
        </w:tblCellMar>
      </w:tblPr>
      <w:tblGrid>
        <w:gridCol w:w="1407"/>
        <w:gridCol w:w="1235"/>
        <w:gridCol w:w="1243"/>
        <w:gridCol w:w="109"/>
        <w:gridCol w:w="109"/>
        <w:gridCol w:w="109"/>
        <w:gridCol w:w="549"/>
        <w:gridCol w:w="2152"/>
        <w:gridCol w:w="284"/>
        <w:gridCol w:w="109"/>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302,098 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HF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earnings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earnings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53,884,510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$85.1 million as of March 31, 2023 and December 31, 2022. There was no change in the carrying amount of goodwill for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spacing w:before="0" w:after="0"/>
        <w:jc w:val="both"/>
        <w:rPr/>
      </w:pPr>
      <w:r>
        <w:rPr/>
      </w:r>
    </w:p>
    <w:tbl>
      <w:tblPr>
        <w:tblW w:w="10599" w:type="dxa"/>
        <w:jc w:val="left"/>
        <w:tblInd w:w="0" w:type="dxa"/>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(30,160)</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acquired intangible assets was $4.1 million and $3.6 million for the three months ended March 31, 2023 and 2022, respectively.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9 -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2019, HF Group entered into two IRS contracts with East West Bank (the "EWB IRS") for initial notional amounts of $1.1 million and $2.6 million, respectively. The EWB IRS contracts were entered into in conjunction with two mortgage term loans of corresponding amounts that were priced at USD 1-month LIBOR plus 2.25% per annum for the entire duration of the term loans. The EWB IRS contracts fixed the two term loans at 4.23% per annum until maturity in September 2029.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December 19, 2019, HF Group entered into an IRS contract with Bank of America (the "BOA IRS") for an initial notional amount of $2.7 million in conjunction with a newly contracted mortgage term loan of corresponding amount. The term loan was contracted at USD 1-month LIBOR plus 2.15% per annum, but was fixed at 4.25% per annum resulting from the corresponding BOA IRS contract. On December 19, 2021, the Company entered into the Second Amendment to Loan Agreement, which pegged the mortgage term loan to Secured Overnight Financing Rate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 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CME Term SOFR.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 on these IRS contracts are accounted for and recognized as a change in fair value of IRS contracts in the condensed consolidated statements of operations and comprehensive income (loss).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determined that the fair values of the IRS contracts were $0.4 million in an asset position and $2.6 million in a liability position. As of December 31, 2022, the IRS contracts were $0.5 million in an asset position. The Company included these in other long-term assets and other long-term liabilities, respectively, on the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March 31, 2023 and December 31, 2022 is summarized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32"/>
        <w:gridCol w:w="612"/>
        <w:gridCol w:w="616"/>
        <w:gridCol w:w="109"/>
        <w:gridCol w:w="109"/>
        <w:gridCol w:w="109"/>
        <w:gridCol w:w="705"/>
        <w:gridCol w:w="689"/>
        <w:gridCol w:w="698"/>
        <w:gridCol w:w="109"/>
        <w:gridCol w:w="109"/>
        <w:gridCol w:w="109"/>
        <w:gridCol w:w="716"/>
        <w:gridCol w:w="716"/>
        <w:gridCol w:w="718"/>
        <w:gridCol w:w="109"/>
        <w:gridCol w:w="109"/>
        <w:gridCol w:w="109"/>
        <w:gridCol w:w="227"/>
        <w:gridCol w:w="893"/>
        <w:gridCol w:w="117"/>
        <w:gridCol w:w="109"/>
        <w:gridCol w:w="109"/>
        <w:gridCol w:w="109"/>
        <w:gridCol w:w="256"/>
        <w:gridCol w:w="1006"/>
        <w:gridCol w:w="196"/>
      </w:tblGrid>
      <w:tr>
        <w:trPr/>
        <w:tc>
          <w:tcPr>
            <w:tcW w:w="73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4.28% - 5.80%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 - 8.25%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JPMorgan Chase &amp; Co.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2023 - January 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6.10% - 6.77%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2023 - March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is pegged to TERM SOFR + 2.5%. </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(b)</w:t>
      </w:r>
      <w:r>
        <w:rPr>
          <w:rFonts w:ascii="Times New Roman;sans-serif" w:hAnsi="Times New Roman;sans-serif"/>
          <w:b w:val="false"/>
          <w:color w:val="000000"/>
          <w:sz w:val="16"/>
        </w:rPr>
        <w:t>Real estate term loans with East West Bank are collateralized by four real properties. Balloon payments of $1.8 million and $2.9 million are due at maturity in 2027 and 2029, respectively.</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$110.1 million as of March 31, 2023 and 111.4 million as of December 31, 2022 is secured by assets held by the Company and has a maturity date of January 2030. Equipment term loan with a principal balance of $0.2 million as of March 31, 2023 and $0.3 million as of December 31, 2022 is secured by specific vehicles and equipment as defined in loan agreements. Equipment term loan matures in December 2023.</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March 31, 2023, the Company was in compliance with its covenants.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Earnings (Loss) Per Share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60,558 potential common shares related to performance-based restricted stock units and 50,256 potential common shares related to restricted stock units that were excluded from the calculation of diluted EPS for the three months ended March 31, 2023 because their effect would have been anti-dilutive. There were 14,381 potential common shares related to total shareholder return performance-based restricted stock units that were excluded from the calculation of diluted EPS for the three months ended March 31, 2022 because their effect would have been anti-dilutive.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p>
      <w:pPr>
        <w:pStyle w:val="TextBody"/>
        <w:spacing w:before="0" w:after="0"/>
        <w:jc w:val="both"/>
        <w:rPr/>
      </w:pPr>
      <w:r>
        <w:rPr/>
      </w:r>
    </w:p>
    <w:tbl>
      <w:tblPr>
        <w:tblW w:w="9349" w:type="dxa"/>
        <w:jc w:val="left"/>
        <w:tblInd w:w="0" w:type="dxa"/>
        <w:tblCellMar>
          <w:top w:w="28" w:type="dxa"/>
          <w:left w:w="28" w:type="dxa"/>
          <w:bottom w:w="28" w:type="dxa"/>
          <w:right w:w="28" w:type="dxa"/>
        </w:tblCellMar>
      </w:tblPr>
      <w:tblGrid>
        <w:gridCol w:w="1613"/>
        <w:gridCol w:w="1416"/>
        <w:gridCol w:w="1425"/>
        <w:gridCol w:w="109"/>
        <w:gridCol w:w="109"/>
        <w:gridCol w:w="109"/>
        <w:gridCol w:w="210"/>
        <w:gridCol w:w="210"/>
        <w:gridCol w:w="210"/>
        <w:gridCol w:w="210"/>
        <w:gridCol w:w="406"/>
        <w:gridCol w:w="1332"/>
        <w:gridCol w:w="210"/>
        <w:gridCol w:w="109"/>
        <w:gridCol w:w="109"/>
        <w:gridCol w:w="109"/>
        <w:gridCol w:w="275"/>
        <w:gridCol w:w="806"/>
        <w:gridCol w:w="109"/>
        <w:gridCol w:w="109"/>
        <w:gridCol w:w="154"/>
      </w:tblGrid>
      <w:tr>
        <w:trPr/>
        <w:tc>
          <w:tcPr>
            <w:tcW w:w="1613"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780" w:type="dxa"/>
            <w:gridSpan w:val="8"/>
            <w:tcBorders/>
            <w:shd w:fill="auto" w:val="clea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HF Foods Group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53,822,794 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53,822,794 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Company's effective income tax rate of 27.7% and 26.0%, respectively, differed from the federal statutory tax rate primarily as a result of permanent differences and state income taxes.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Related Party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spacing w:before="0" w:after="0"/>
        <w:jc w:val="both"/>
        <w:rPr/>
      </w:pPr>
      <w:r>
        <w:rPr/>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Xiao Mou Zhang (“Mr. Zhang”) became the sole Chief Executive Officer on February 23, 2021. Mr. Xiao Mou Zhang and certain of his immediate family also have ownership interests in various related parties involved in (i) the distribution of food and related products to restaurants and other retailers and (ii) the supply of fresh food, frozen food, and packaging supplies to distributors.</w:t>
      </w:r>
    </w:p>
    <w:p>
      <w:pPr>
        <w:pStyle w:val="TextBody"/>
        <w:spacing w:before="0" w:after="0"/>
        <w:jc w:val="both"/>
        <w:rPr/>
      </w:pPr>
      <w:r>
        <w:rPr/>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Zhou Min Ni (“Mr. Ni”), the Company’s former Co-Chief Executive Officer, together with various trusts for the benefit of Mr. Ni's four children, are collectively the beneficial owners of approximately 25% of the Company’s outstanding shares of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North Carolina Good Taste Noodle, Inc. (“NC Noodle”) was a related party due to Mr. Jian Ming Ni's, a former Chief Financial Officer of the Company, continued ownership interest in NC Noodle. As of January 1, 2023, NC Noodle is no longer considered a related party since it has been three years since Mr. Jian Ming Ni resigned.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March 31, 2023 and December 31, 2022 and for the three months ended March 31, 2023 and 2022 are identified as follows: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three months ended March 31, 2023 and 2022, respectively:</w:t>
      </w:r>
    </w:p>
    <w:tbl>
      <w:tblPr>
        <w:tblW w:w="9145" w:type="dxa"/>
        <w:jc w:val="left"/>
        <w:tblInd w:w="0" w:type="dxa"/>
        <w:tblCellMar>
          <w:top w:w="28" w:type="dxa"/>
          <w:left w:w="28" w:type="dxa"/>
          <w:bottom w:w="28" w:type="dxa"/>
          <w:right w:w="28" w:type="dxa"/>
        </w:tblCellMar>
      </w:tblPr>
      <w:tblGrid>
        <w:gridCol w:w="124"/>
        <w:gridCol w:w="109"/>
        <w:gridCol w:w="109"/>
        <w:gridCol w:w="1482"/>
        <w:gridCol w:w="1482"/>
        <w:gridCol w:w="1490"/>
        <w:gridCol w:w="109"/>
        <w:gridCol w:w="109"/>
        <w:gridCol w:w="109"/>
        <w:gridCol w:w="215"/>
        <w:gridCol w:w="215"/>
        <w:gridCol w:w="216"/>
        <w:gridCol w:w="109"/>
        <w:gridCol w:w="109"/>
        <w:gridCol w:w="109"/>
        <w:gridCol w:w="266"/>
        <w:gridCol w:w="757"/>
        <w:gridCol w:w="148"/>
        <w:gridCol w:w="148"/>
        <w:gridCol w:w="148"/>
        <w:gridCol w:w="148"/>
        <w:gridCol w:w="266"/>
        <w:gridCol w:w="757"/>
        <w:gridCol w:w="148"/>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44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Eastern Fresh NJ,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Enson Seafood GA, Inc. (formerly “GA-GW Seafood,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Fujian RongFeng Plastic Co.,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w:t>
            </w:r>
          </w:p>
        </w:tc>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Ocean Pacific Seafood Group,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(c)Mr.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(d)Mr. Ni owns an equity interest in this entity indirectly through its parent company.</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(e)Mr. Ni owns an equity interest in this entity indirectly through its parent company.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 xml:space="preserve">(f)Mr. Jian Ming Ni, former Chief Financial Officer owns an equity interest in this entity. Mr. Zhou Min Ni previously owned an equity in this entity as of 12/31/2019. The Company has been informed by Mr. Zhou Min Ni that his equity interest was disposed of on 1/1/2020. No longer considered a related party as of 1/1/2023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highlight w:val="white"/>
        </w:rPr>
        <w:t>.</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(g)</w:t>
      </w:r>
      <w:r>
        <w:rPr>
          <w:rFonts w:ascii="Times New Roman;sans-serif" w:hAnsi="Times New Roman;sans-serif"/>
          <w:b w:val="false"/>
          <w:color w:val="000000"/>
          <w:sz w:val="16"/>
        </w:rPr>
        <w:t>Mr. Ni owns an equity interest in this entity.</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three months ended March 31, 2023 and 2022, respectively:</w:t>
      </w:r>
    </w:p>
    <w:p>
      <w:pPr>
        <w:pStyle w:val="TextBody"/>
        <w:spacing w:before="0" w:after="0"/>
        <w:ind w:left="0" w:right="0" w:hanging="360"/>
        <w:rPr/>
      </w:pPr>
      <w:r>
        <w:rPr/>
      </w:r>
    </w:p>
    <w:tbl>
      <w:tblPr>
        <w:tblW w:w="5911" w:type="dxa"/>
        <w:jc w:val="left"/>
        <w:tblInd w:w="0" w:type="dxa"/>
        <w:tblCellMar>
          <w:top w:w="28" w:type="dxa"/>
          <w:left w:w="28" w:type="dxa"/>
          <w:bottom w:w="28" w:type="dxa"/>
          <w:right w:w="28" w:type="dxa"/>
        </w:tblCellMar>
      </w:tblPr>
      <w:tblGrid>
        <w:gridCol w:w="125"/>
        <w:gridCol w:w="110"/>
        <w:gridCol w:w="110"/>
        <w:gridCol w:w="729"/>
        <w:gridCol w:w="729"/>
        <w:gridCol w:w="732"/>
        <w:gridCol w:w="109"/>
        <w:gridCol w:w="109"/>
        <w:gridCol w:w="109"/>
        <w:gridCol w:w="266"/>
        <w:gridCol w:w="757"/>
        <w:gridCol w:w="148"/>
        <w:gridCol w:w="148"/>
        <w:gridCol w:w="148"/>
        <w:gridCol w:w="148"/>
        <w:gridCol w:w="266"/>
        <w:gridCol w:w="757"/>
        <w:gridCol w:w="148"/>
        <w:gridCol w:w="109"/>
        <w:gridCol w:w="15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t>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(d)Tina Ni, one of Mr. Ni’s family members, owns an equity interest in this entity indirectly through its parent company.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(e)Mr. Ni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(f)Mr. Ni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(g)Mr.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(h)Tina Ni, one of Mr. Ni’s family members, owns an equity interest in this entity.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warehouse to Enson Seafood GA Inc. (formerly GA-GW Seafood, Inc.) under an operating lease agreement expiring on September 21, 2027. On May 18, 2022, the Company sold the warehouse to Enson Seafood GA Inc., a related party, for approximately $7.2 million, recognized a gain of $1.5 million and used a portion of the proceeds to pay the outstanding balance of the Company's $4.5 million loan with First Horizon Bank. Rental income for the three months ended March 31, 2023 and 2022 was nil and $80,000, respectively, which is included in other income in the condensed consolidated statements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incurred was $99,000 and $72,000 for the three months ended March 31, 2023 and 2022, respectively, which is included in distribution, selling and administrative expenses in the condensed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March 31, 2023 and December 31, 2022, respectively:</w:t>
      </w:r>
    </w:p>
    <w:p>
      <w:pPr>
        <w:pStyle w:val="TextBody"/>
        <w:spacing w:before="0" w:after="0"/>
        <w:jc w:val="both"/>
        <w:rPr/>
      </w:pPr>
      <w:r>
        <w:rPr/>
      </w:r>
    </w:p>
    <w:tbl>
      <w:tblPr>
        <w:tblW w:w="9082" w:type="dxa"/>
        <w:jc w:val="left"/>
        <w:tblInd w:w="0" w:type="dxa"/>
        <w:tblCellMar>
          <w:top w:w="28" w:type="dxa"/>
          <w:left w:w="28" w:type="dxa"/>
          <w:bottom w:w="28" w:type="dxa"/>
          <w:right w:w="28" w:type="dxa"/>
        </w:tblCellMar>
      </w:tblPr>
      <w:tblGrid>
        <w:gridCol w:w="125"/>
        <w:gridCol w:w="110"/>
        <w:gridCol w:w="110"/>
        <w:gridCol w:w="1623"/>
        <w:gridCol w:w="1623"/>
        <w:gridCol w:w="1629"/>
        <w:gridCol w:w="109"/>
        <w:gridCol w:w="109"/>
        <w:gridCol w:w="109"/>
        <w:gridCol w:w="386"/>
        <w:gridCol w:w="854"/>
        <w:gridCol w:w="199"/>
        <w:gridCol w:w="109"/>
        <w:gridCol w:w="109"/>
        <w:gridCol w:w="109"/>
        <w:gridCol w:w="448"/>
        <w:gridCol w:w="992"/>
        <w:gridCol w:w="32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as GA-GW Seafood,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4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4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4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4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(d)Tina Ni, one of Mr. Ni’s family members,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 indirectly through its parent company.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(g)Tina Ni, one of Mr. Ni’s family members, owns an equity interest in this entity.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80% of the accounts receivable for Enson Seafood GA, Inc. All other accounts receivable from these related parties are current and considered fully collectible. No other allowance is deemed necessary as of March 31, 2023 and December 31, 2022.</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March 31, 2023 and December 31, 2022, respectively:</w:t>
      </w:r>
    </w:p>
    <w:p>
      <w:pPr>
        <w:pStyle w:val="TextBody"/>
        <w:spacing w:before="0" w:after="0"/>
        <w:jc w:val="both"/>
        <w:rPr/>
      </w:pPr>
      <w:r>
        <w:rPr/>
      </w:r>
    </w:p>
    <w:tbl>
      <w:tblPr>
        <w:tblW w:w="7536" w:type="dxa"/>
        <w:jc w:val="left"/>
        <w:tblInd w:w="0" w:type="dxa"/>
        <w:tblCellMar>
          <w:top w:w="28" w:type="dxa"/>
          <w:left w:w="28" w:type="dxa"/>
          <w:bottom w:w="28" w:type="dxa"/>
          <w:right w:w="28" w:type="dxa"/>
        </w:tblCellMar>
      </w:tblPr>
      <w:tblGrid>
        <w:gridCol w:w="125"/>
        <w:gridCol w:w="110"/>
        <w:gridCol w:w="110"/>
        <w:gridCol w:w="1108"/>
        <w:gridCol w:w="1108"/>
        <w:gridCol w:w="1113"/>
        <w:gridCol w:w="109"/>
        <w:gridCol w:w="109"/>
        <w:gridCol w:w="109"/>
        <w:gridCol w:w="386"/>
        <w:gridCol w:w="854"/>
        <w:gridCol w:w="199"/>
        <w:gridCol w:w="109"/>
        <w:gridCol w:w="109"/>
        <w:gridCol w:w="109"/>
        <w:gridCol w:w="380"/>
        <w:gridCol w:w="1110"/>
        <w:gridCol w:w="27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benefits of Mr. Zhang's children effective November 1, 2020.</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 xml:space="preserve">(b)Mr. Jian Ming Ni, former Chief Financial Officer owns an equity interest in this entity. Mr. Zhou Min Ni previously owned an equity in this entity as of 12/31/2019. The Company has been informed by Mr. Zhou Min Ni that his equity interest was disposed of on 1/1/2020. No longer considered a related party as of 1/1/2023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highlight w:val="white"/>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Promissory Note Payable - Related Party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a $7.0 million unsecured subordinated promissory note to B&amp;R Group Realty Holding, LLC. As of March 31, 2022, the outstanding balance was $4.5 million and there was no accrued interest payable. Interest payments were $0.1 million for the three months ended March 31, 2022. No principal payment was made during the three months ended March 31, 2022. During the three months ended June 30, 2022, the Company paid the remaining $4.5 million principal balance of this related party promissory note payable.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Stock-Based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began issuing awards under the HF Foods Group Inc. 2018 Omnibus Equity Incentive Plan (the “2018 Incentive Plan”), which reserves up to 3,000,000 shares of the Company's common stock for issuance of awards to employees, non-employee directors and consultants. As of March 31, 2023, the Company had 575,906 time-based vesting restricted stock units unvested, 339,255 performance-based restricted stock units unvested, 180,506 shares of common stock vested and 1,904,333 shares remaining available for future awards under the 2018 Incentive Plan.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stock-based compensation expense was $1.1 million and $0.3 million, respectively, and was included in distribution, selling and administrative expenses in the Company's unaudited condensed consolidated statements of income and comprehensive income.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$3.0 million of total unrecognized compensation cost related to all non-vested outstanding RSUs and PSUs outstanding under the 2018 Incentive Plan, with a weighted average remaining service period of 1.83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its business. There also exists the possibility of a material adverse effect on the Company’s financial statements for the period in which the effect of an unfavorable outcome becomes probable and reasonably estimable.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are cooperating with the SEC.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SEC investigation is ongoing, the Special Investigation Committee has made certain factual findings based on evidence adduced during its investigation, and made recommendations to management regarding improvements to Company operations and structure, including but not limited to its dealings with related parties. The Company is working to implement those improvements.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with any SEC investigation, there is also the possibility of potential fines and penalties.</w:t>
      </w:r>
      <w:r>
        <w:rPr>
          <w:color w:val="000000"/>
        </w:rPr>
        <w:t xml:space="preserve"> </w:t>
      </w:r>
      <w:r>
        <w:rPr>
          <w:rFonts w:ascii="Times New Roman;sans-serif" w:hAnsi="Times New Roman;sans-serif"/>
          <w:b w:val="false"/>
          <w:color w:val="000000"/>
          <w:sz w:val="20"/>
        </w:rPr>
        <w:t xml:space="preserve">At this time, however, there has not been any demand made by the SEC nor is it possible to estimate the amount of any such fines and penalties, should they occur.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2022, the Board of Directors of HF Group received a letter from a stockholder, James Bishop (the “Bishop Demand”). The Bishop Demand alleges that certain current and former officers and directors of HF Group engaged in misconduct and breached their fiduciary duties, and demands that HF Group investigate the allegations and, if warranted, assert claims against those current or former officers and directors. Many of the allegations contained in the Bishop Demand were the subject of the Class 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James Bishop filed a verified stockholder derivative complaint (the “Delaware Action”) in the Court of Chancery of the State of Delaware (the “Court of Chancery”),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 On March 15, 2023, the Court of Chancery entered an order approving a joint stipulation submitted by Bishop and HF Foods to stay the case for an additional 60 days.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March 31, 2023, effective as of April 20, 2023, the Company and certain parties to the Delaware Action reached an agreement to settle the Delaware Action on the terms and conditions set forth in a binding term sheet (the “Binding Term Sheet”), which was incorporated into a long-form settlement agreement on May 5, 2023 and filed with the Court of Chancery on May 8, 2023. The Binding Term Sheet provided for, among other things, the dismissal of the Delaware Action with prejudice, thereby resolving all existing and potential liability against all named defendants in the Delaware Action, in exchange for Zhou Min Ni, a former Chairman and Chief Executive Officer of the Company, and Chan Sin Wong, a former President and Chief Operating Officer of the Company, making a payment to the Company in the sum of $9.25 million and the Company adopting certain changes to its Certificate of Incorporation, Bylaws and/or other internal governance policies and procedures. The full terms of the settlement of the Delaware Action were incorporated into the long-form settlement agreement, which is subject to approval of the Court of Chancery.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provided a guarantee for two separate leases for two properties located in Manhattan, New York, at 273 Fifth Avenue and 275 Fifth Avenue, for 30 years and 15 years, respectively. The Company has determined that AnHeart is a VIE as a result of the guarantee. However, the Company concluded it is not the primary beneficiary of AnHeart and therefore does not consolidate, because it does not have the power to direct the activities of AnHeart that most significantly impact AnHeart's economic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While the case remains pending in New York, the Company is not actively litigating the claim.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accordance with ASC Topic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AnHeart is obligated to pay all costs associated with the properties, including taxes, insurance, utilities, maintenance and repairs. During the three months ended March 31, 2022, the Company recorded a lease guarantee liability of $5.9 million. The Company determined the discounted value of the lease guarantee liability using a discount rate of 4.55% and is classified as Level 2 in the fair value hierarchy. As of March 31, 2023, the Company had a lease guarantee liability of $5.7 million. The current portion of the lease guarantee liability of $0.3 million is recorded in Accrued expenses and other liabilities, while the long-term portion is recorded in Other long-term liabilities on the condensed consolidated balance sheet. The Company's monthly rental payments range from approximately $42,000 per month to $63,000 per month, with the final payment due in 2034.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minimum lease payments as of March 31, 2023 are presented below:</w:t>
      </w:r>
    </w:p>
    <w:tbl>
      <w:tblPr>
        <w:tblW w:w="3962" w:type="dxa"/>
        <w:jc w:val="left"/>
        <w:tblInd w:w="0" w:type="dxa"/>
        <w:tblCellMar>
          <w:top w:w="28" w:type="dxa"/>
          <w:left w:w="28" w:type="dxa"/>
          <w:bottom w:w="28" w:type="dxa"/>
          <w:right w:w="28" w:type="dxa"/>
        </w:tblCellMar>
      </w:tblPr>
      <w:tblGrid>
        <w:gridCol w:w="960"/>
        <w:gridCol w:w="845"/>
        <w:gridCol w:w="849"/>
        <w:gridCol w:w="109"/>
        <w:gridCol w:w="109"/>
        <w:gridCol w:w="109"/>
        <w:gridCol w:w="211"/>
        <w:gridCol w:w="616"/>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Subsequent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Rights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11, 2023, the Company’s Board of Directors, authorized and declared a dividend distribution of one right (each, a “Right”) for each outstanding share of common stock of the Company to stockholders of record as of the close of business on April 24, 2023. Each Right entitles the registered holder to purchase from the Company one one-thousandth of a share of Series A Participating Preferred Stock of the Company at an exercise price of $19.50 subject to adjustment. The complete terms of the Rights are set forth in a Preferred Stock Rights Agreement (the “Rights Agreement”), dated as of April 11, 2023, between the Company and American Stock Transfer &amp; Trust Company, LLC, as rights agent.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adopted the Rights Agreement to protect stockholders from coercive or otherwise unfair takeover tactics. In general terms, it works by imposing a significant penalty upon any person or group that acquires fifteen percent (15%) or more of the shares of common stock without the approval of the Company’s Board of Directors. As a result, the overall effect of the Rights Agreement and the issuance of the Rights may be to render more difficult or discourage a merger, tender or exchange offer or other business combination involving the Company that is not approved by the Company’s Board of Directors.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14 - Commitments and Contingencies</w:t>
      </w:r>
      <w:r>
        <w:rPr>
          <w:color w:val="000000"/>
        </w:rPr>
        <w:t xml:space="preserve"> </w:t>
      </w:r>
      <w:r>
        <w:rPr>
          <w:rFonts w:ascii="Times New Roman;sans-serif" w:hAnsi="Times New Roman;sans-serif"/>
          <w:b w:val="false"/>
          <w:color w:val="000000"/>
          <w:sz w:val="20"/>
        </w:rPr>
        <w:t>for a subsequent event related to the settlement of the Delaware Action.</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HF Foods Group Inc. (“HF Group,”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“ongoing,”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the COVID-19 pandemic or other pandemics;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CEO, COO, CFO and CCO/General Counsel;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 could negatively impact our results of operations and financial condition;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regain compliance with Nasdaq listing requirements;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and the as yet resolved Nasdaq delisting determination;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antitakeover laws and related provision in our governance documents.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2022, filed with the SEC. </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market leaders, HF Foods Group Inc. and B&amp;R Global.</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grown our distribution network to 18 distribution centers nationwide with a fleet of over 400 refrigerated vehicles. Capitalizing on our deep understanding of the Chinese culture, we have become a trusted partner serving Asian and Chinese restaurants and other foodservice customers throughout the United States, providing sales and service support to customers who mainly converse in Mandarin or other Chinese dialects. We are dedicated to serving the vast array of Asian and Chinese restaurants in need of high-quality and specialized food ingredients at competitive prices.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How to Assess HF Group’s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pStyle w:val="TextBody"/>
        <w:spacing w:before="0" w:after="0"/>
        <w:jc w:val="both"/>
        <w:rPr/>
      </w:pPr>
      <w:r>
        <w:rPr/>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EBITDA and Adjusted EBITDA, see the section entitled “EBITDA and Adjusted EBITDA”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three months ended March 31,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CellMar>
          <w:top w:w="28" w:type="dxa"/>
          <w:left w:w="28" w:type="dxa"/>
          <w:bottom w:w="28" w:type="dxa"/>
          <w:right w:w="28" w:type="dxa"/>
        </w:tblCellMar>
      </w:tblPr>
      <w:tblGrid>
        <w:gridCol w:w="1825"/>
        <w:gridCol w:w="1589"/>
        <w:gridCol w:w="1556"/>
        <w:gridCol w:w="219"/>
        <w:gridCol w:w="859"/>
        <w:gridCol w:w="113"/>
        <w:gridCol w:w="113"/>
        <w:gridCol w:w="113"/>
        <w:gridCol w:w="113"/>
        <w:gridCol w:w="219"/>
        <w:gridCol w:w="859"/>
        <w:gridCol w:w="113"/>
        <w:gridCol w:w="109"/>
        <w:gridCol w:w="109"/>
        <w:gridCol w:w="109"/>
        <w:gridCol w:w="211"/>
        <w:gridCol w:w="721"/>
        <w:gridCol w:w="109"/>
        <w:gridCol w:w="109"/>
        <w:gridCol w:w="109"/>
        <w:gridCol w:w="109"/>
        <w:gridCol w:w="237"/>
        <w:gridCol w:w="237"/>
        <w:gridCol w:w="345"/>
      </w:tblGrid>
      <w:tr>
        <w:trPr/>
        <w:tc>
          <w:tcPr>
            <w:tcW w:w="1825"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4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97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9" w:type="dxa"/>
            <w:gridSpan w:val="3"/>
            <w:tcBorders/>
            <w:shd w:fill="auto" w:val="clear"/>
            <w:vAlign w:val="center"/>
          </w:tcPr>
          <w:p>
            <w:pPr>
              <w:pStyle w:val="TableContents"/>
              <w:spacing w:before="0" w:after="283"/>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243,683 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227,488 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497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9" w:type="dxa"/>
            <w:gridSpan w:val="3"/>
            <w:tcBorders/>
            <w:shd w:fill="auto" w:val="clear"/>
            <w:vAlign w:val="center"/>
          </w:tcPr>
          <w:p>
            <w:pPr>
              <w:pStyle w:val="TableContents"/>
              <w:spacing w:before="0" w:after="283"/>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(126.7)%</w:t>
            </w:r>
          </w:p>
        </w:tc>
      </w:tr>
      <w:tr>
        <w:trPr/>
        <w:tc>
          <w:tcPr>
            <w:tcW w:w="497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9" w:type="dxa"/>
            <w:gridSpan w:val="3"/>
            <w:tcBorders/>
            <w:shd w:fill="auto" w:val="clear"/>
            <w:vAlign w:val="center"/>
          </w:tcPr>
          <w:p>
            <w:pPr>
              <w:pStyle w:val="TableContents"/>
              <w:spacing w:before="0" w:after="283"/>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124.4%</w:t>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(867.0)%</w:t>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 provision</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(289.0)%</w:t>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(benefit) tax provision </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(301.6)%</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(284.6)%</w:t>
            </w:r>
          </w:p>
        </w:tc>
      </w:tr>
      <w:tr>
        <w:trPr/>
        <w:tc>
          <w:tcPr>
            <w:tcW w:w="4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423.1%</w:t>
            </w:r>
          </w:p>
        </w:tc>
      </w:tr>
      <w:tr>
        <w:trPr/>
        <w:tc>
          <w:tcPr>
            <w:tcW w:w="4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(290.5)%</w:t>
            </w:r>
          </w:p>
        </w:tc>
      </w:tr>
    </w:tbl>
    <w:p>
      <w:pPr>
        <w:pStyle w:val="TextBody"/>
        <w:spacing w:before="4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CellMar>
          <w:top w:w="28" w:type="dxa"/>
          <w:left w:w="28" w:type="dxa"/>
          <w:bottom w:w="28" w:type="dxa"/>
          <w:right w:w="28" w:type="dxa"/>
        </w:tblCellMar>
      </w:tblPr>
      <w:tblGrid>
        <w:gridCol w:w="2559"/>
        <w:gridCol w:w="2255"/>
        <w:gridCol w:w="2262"/>
        <w:gridCol w:w="352"/>
        <w:gridCol w:w="264"/>
        <w:gridCol w:w="562"/>
        <w:gridCol w:w="225"/>
        <w:gridCol w:w="225"/>
        <w:gridCol w:w="225"/>
        <w:gridCol w:w="352"/>
        <w:gridCol w:w="264"/>
        <w:gridCol w:w="660"/>
      </w:tblGrid>
      <w:tr>
        <w:trPr/>
        <w:tc>
          <w:tcPr>
            <w:tcW w:w="2559"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7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76"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 provision</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Revenue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Net revenue for the three months ended March 31, 2023 increased by $15.6 million or 6% compared to the same period in 2022. </w:t>
      </w:r>
      <w:r>
        <w:rPr>
          <w:rFonts w:ascii="Times New Roman;sans-serif" w:hAnsi="Times New Roman;sans-serif"/>
          <w:b w:val="false"/>
          <w:color w:val="000000"/>
          <w:sz w:val="20"/>
        </w:rPr>
        <w:t>This increase was attributable to the additional Seafood revenue generated due to the Sealand Acquisition and product cost inflation, partially offset by a decrease in Meat and Poultry revenue</w:t>
      </w:r>
      <w:r>
        <w:rPr>
          <w:color w:val="000000"/>
          <w:highlight w:val="white"/>
        </w:rPr>
        <w:t xml:space="preserve"> </w:t>
      </w:r>
      <w:r>
        <w:rPr>
          <w:rFonts w:ascii="Times New Roman;sans-serif" w:hAnsi="Times New Roman;sans-serif"/>
          <w:b w:val="false"/>
          <w:color w:val="000000"/>
          <w:sz w:val="20"/>
          <w:highlight w:val="white"/>
        </w:rPr>
        <w:t xml:space="preserve">compared to the same period in 2022.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Gross profit was $50.2 million for </w:t>
      </w:r>
      <w:r>
        <w:rPr>
          <w:rFonts w:ascii="Times New Roman;sans-serif" w:hAnsi="Times New Roman;sans-serif"/>
          <w:b w:val="false"/>
          <w:color w:val="000000"/>
          <w:sz w:val="20"/>
          <w:highlight w:val="white"/>
        </w:rPr>
        <w:t>three months ended March 31, 2023</w:t>
      </w:r>
      <w:r>
        <w:rPr>
          <w:color w:val="000000"/>
        </w:rPr>
        <w:t xml:space="preserve"> </w:t>
      </w:r>
      <w:r>
        <w:rPr>
          <w:rFonts w:ascii="Times New Roman;sans-serif" w:hAnsi="Times New Roman;sans-serif"/>
          <w:b w:val="false"/>
          <w:color w:val="000000"/>
          <w:sz w:val="20"/>
        </w:rPr>
        <w:t xml:space="preserve">compared to $50.7 million in the same period in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xml:space="preserve">, a decrease of $0.6 million, or </w:t>
      </w: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 xml:space="preserve">. The decrease was primarily attributable to a decrease in Meat and Poultry revenue, partially offset by the additional Seafood revenue generated due to the Sealand Acquisition. Gross profit margin for </w:t>
      </w:r>
      <w:r>
        <w:rPr>
          <w:rFonts w:ascii="Times New Roman;sans-serif" w:hAnsi="Times New Roman;sans-serif"/>
          <w:b w:val="false"/>
          <w:color w:val="000000"/>
          <w:sz w:val="20"/>
          <w:highlight w:val="white"/>
        </w:rPr>
        <w:t>three months ended March 31, 2023</w:t>
      </w:r>
      <w:r>
        <w:rPr>
          <w:color w:val="000000"/>
        </w:rPr>
        <w:t xml:space="preserve"> </w:t>
      </w:r>
      <w:r>
        <w:rPr>
          <w:rFonts w:ascii="Times New Roman;sans-serif" w:hAnsi="Times New Roman;sans-serif"/>
          <w:b w:val="false"/>
          <w:color w:val="000000"/>
          <w:sz w:val="20"/>
        </w:rPr>
        <w:t xml:space="preserve">decreased from 18.2% in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 xml:space="preserve">to 17.1% for the same period in </w:t>
      </w:r>
      <w:r>
        <w:rPr>
          <w:rFonts w:ascii="Times New Roman;sans-serif" w:hAnsi="Times New Roman;sans-serif"/>
          <w:b w:val="false"/>
          <w:color w:val="000000"/>
          <w:sz w:val="20"/>
          <w:highlight w:val="white"/>
        </w:rPr>
        <w:t>2023.</w:t>
      </w:r>
      <w:r>
        <w:rPr>
          <w:color w:val="000000"/>
        </w:rPr>
        <w:t xml:space="preserve"> </w:t>
      </w:r>
      <w:r>
        <w:rPr>
          <w:rFonts w:ascii="Times New Roman;sans-serif" w:hAnsi="Times New Roman;sans-serif"/>
          <w:b w:val="false"/>
          <w:color w:val="000000"/>
          <w:sz w:val="20"/>
        </w:rPr>
        <w:t xml:space="preserve">The decrease was primarily attributable to the shift in product mix to higher Seafood sales, timing of inventory purchases, increases in key commodity pricing and a higher than normal gross profit margin in the prior year due to our sales recovery to above pre-COVID-19 pandemic levels during the three months ended March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increased by $12.5 million, or 31%, primarily due to an increase of $2.8 million in payroll and related labor costs, inclusive of the additional costs due to the Sealand Acquisition, increased professional fees of $4.2 million, from $2.9 million for the three months ended March 31, 2022 to $7.1 million for the three months ended March 31, 2023, primarily driven by legal costs and increased compliance costs as a result of the SEC and Special Investigation Committee investigations, as well as a $0.8 million increase in sales-related costs driven primarily by the Sealand Acquisition. Distribution, selling and administrative expenses as a percentage of net revenue increased to 18.0% for the three months ended March 31, 2023 from 14.5% in the same period in 2022 primarily due to higher professional fees and increased headcount.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Interest expense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increased by $1.6 million or </w:t>
      </w:r>
      <w:r>
        <w:rPr>
          <w:rFonts w:ascii="Times New Roman;sans-serif" w:hAnsi="Times New Roman;sans-serif"/>
          <w:b w:val="false"/>
          <w:color w:val="000000"/>
          <w:sz w:val="20"/>
          <w:highlight w:val="white"/>
        </w:rPr>
        <w:t>124%</w:t>
      </w:r>
      <w:r>
        <w:rPr>
          <w:rFonts w:ascii="Times New Roman;sans-serif" w:hAnsi="Times New Roman;sans-serif"/>
          <w:b w:val="false"/>
          <w:color w:val="000000"/>
          <w:sz w:val="20"/>
        </w:rPr>
        <w:t xml:space="preserve">, compared to the three months ended March 31, 2022, primarily due to the increase of $46.0 million to our JPMorgan Chase mortgage-secured term loan on March 31, 2022 coupled with a sharply higher interest-rate environment. Our average daily line of credit balance decreased by $19.4 million, or </w:t>
      </w:r>
      <w:r>
        <w:rPr>
          <w:rFonts w:ascii="Times New Roman;sans-serif" w:hAnsi="Times New Roman;sans-serif"/>
          <w:b w:val="false"/>
          <w:color w:val="000000"/>
          <w:sz w:val="20"/>
          <w:highlight w:val="white"/>
        </w:rPr>
        <w:t>31%</w:t>
      </w:r>
      <w:r>
        <w:rPr>
          <w:rFonts w:ascii="Times New Roman;sans-serif" w:hAnsi="Times New Roman;sans-serif"/>
          <w:b w:val="false"/>
          <w:color w:val="000000"/>
          <w:sz w:val="20"/>
        </w:rPr>
        <w:t xml:space="preserve">, to $42.6 million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from $62.0 million for the three months ended March 31, 2022, and our average daily JPMorgan Chase mortgage-secured term loan balance increased by $41.2 million, or </w:t>
      </w:r>
      <w:r>
        <w:rPr>
          <w:rFonts w:ascii="Times New Roman;sans-serif" w:hAnsi="Times New Roman;sans-serif"/>
          <w:b w:val="false"/>
          <w:color w:val="000000"/>
          <w:sz w:val="20"/>
          <w:highlight w:val="white"/>
        </w:rPr>
        <w:t>59%</w:t>
      </w:r>
      <w:r>
        <w:rPr>
          <w:rFonts w:ascii="Times New Roman;sans-serif" w:hAnsi="Times New Roman;sans-serif"/>
          <w:b w:val="false"/>
          <w:color w:val="000000"/>
          <w:sz w:val="20"/>
        </w:rPr>
        <w:t xml:space="preserve">, to $110.5 million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from $69.3 million for the three months ended March 31, 2022. Average floating interest rates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increased by approximately 4.41% on the line of credit and 4.41% on the JPMorgan Chase mortgage-secured term loan, compared to the same period in 2022, which further contributed to higher interest expense.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Provision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Income tax (benefit) provision was an income tax benefit of $2.2 million for the three months ended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compared to income tax provision of $1.1 million for the three months ended March 31, 2022, primarily due to decreased income before taxes.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HF Foods Group Inc.</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Net (loss) income attributable to HF Foods Group Inc. was a net loss of $5.9 million for the three months ended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xml:space="preserve">, compared to net income of $3.1 million for the three months ended March 31, 2022. The decrease of $9.0 million, or </w:t>
      </w:r>
      <w:r>
        <w:rPr>
          <w:rFonts w:ascii="Times New Roman;sans-serif" w:hAnsi="Times New Roman;sans-serif"/>
          <w:b w:val="false"/>
          <w:color w:val="000000"/>
          <w:sz w:val="20"/>
          <w:highlight w:val="white"/>
        </w:rPr>
        <w:t>291%</w:t>
      </w:r>
      <w:r>
        <w:rPr>
          <w:rFonts w:ascii="Times New Roman;sans-serif" w:hAnsi="Times New Roman;sans-serif"/>
          <w:b w:val="false"/>
          <w:color w:val="000000"/>
          <w:sz w:val="20"/>
        </w:rPr>
        <w:t xml:space="preserve">, is primarily due to the increased distribution, selling, and administrative costs and interest expense described above as well as the year-over-year change in fair value of interest rate swap contracts of $3.1 million.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10205" w:type="dxa"/>
        <w:jc w:val="left"/>
        <w:tblInd w:w="0" w:type="dxa"/>
        <w:tblCellMar>
          <w:top w:w="28" w:type="dxa"/>
          <w:left w:w="28" w:type="dxa"/>
          <w:bottom w:w="28" w:type="dxa"/>
          <w:right w:w="28" w:type="dxa"/>
        </w:tblCellMar>
      </w:tblPr>
      <w:tblGrid>
        <w:gridCol w:w="1480"/>
        <w:gridCol w:w="1292"/>
        <w:gridCol w:w="1297"/>
        <w:gridCol w:w="109"/>
        <w:gridCol w:w="109"/>
        <w:gridCol w:w="109"/>
        <w:gridCol w:w="487"/>
        <w:gridCol w:w="342"/>
        <w:gridCol w:w="344"/>
        <w:gridCol w:w="249"/>
        <w:gridCol w:w="249"/>
        <w:gridCol w:w="249"/>
        <w:gridCol w:w="487"/>
        <w:gridCol w:w="337"/>
        <w:gridCol w:w="339"/>
        <w:gridCol w:w="109"/>
        <w:gridCol w:w="109"/>
        <w:gridCol w:w="109"/>
        <w:gridCol w:w="384"/>
        <w:gridCol w:w="393"/>
        <w:gridCol w:w="398"/>
        <w:gridCol w:w="109"/>
        <w:gridCol w:w="109"/>
        <w:gridCol w:w="109"/>
        <w:gridCol w:w="260"/>
        <w:gridCol w:w="260"/>
        <w:gridCol w:w="377"/>
      </w:tblGrid>
      <w:tr>
        <w:trPr/>
        <w:tc>
          <w:tcPr>
            <w:tcW w:w="1480"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4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(284.6)%</w:t>
            </w:r>
          </w:p>
        </w:tc>
      </w:tr>
      <w:tr>
        <w:trPr/>
        <w:tc>
          <w:tcPr>
            <w:tcW w:w="4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124.4%</w:t>
            </w:r>
          </w:p>
        </w:tc>
      </w:tr>
      <w:tr>
        <w:trPr/>
        <w:tc>
          <w:tcPr>
            <w:tcW w:w="4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(301.6)%</w:t>
            </w:r>
          </w:p>
        </w:tc>
      </w:tr>
      <w:tr>
        <w:trPr/>
        <w:tc>
          <w:tcPr>
            <w:tcW w:w="4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4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(86.4)%</w:t>
            </w:r>
          </w:p>
        </w:tc>
      </w:tr>
      <w:tr>
        <w:trPr/>
        <w:tc>
          <w:tcPr>
            <w:tcW w:w="4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r>
      <w:tr>
        <w:trPr/>
        <w:tc>
          <w:tcPr>
            <w:tcW w:w="4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277.9%</w:t>
            </w:r>
          </w:p>
        </w:tc>
      </w:tr>
      <w:tr>
        <w:trPr/>
        <w:tc>
          <w:tcPr>
            <w:tcW w:w="4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(70.7)%</w:t>
            </w:r>
          </w:p>
        </w:tc>
      </w:tr>
      <w:tr>
        <w:trPr/>
        <w:tc>
          <w:tcPr>
            <w:tcW w:w="4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Adjusted EBITDA was $5.3 million for the three months ended March 31, 2023, a decrease of $12.7 million or </w:t>
      </w:r>
      <w:r>
        <w:rPr>
          <w:rFonts w:ascii="Times New Roman;sans-serif" w:hAnsi="Times New Roman;sans-serif"/>
          <w:b w:val="false"/>
          <w:color w:val="000000"/>
          <w:sz w:val="20"/>
          <w:highlight w:val="white"/>
        </w:rPr>
        <w:t>71%</w:t>
      </w:r>
      <w:r>
        <w:rPr>
          <w:rFonts w:ascii="Times New Roman;sans-serif" w:hAnsi="Times New Roman;sans-serif"/>
          <w:b w:val="false"/>
          <w:color w:val="000000"/>
          <w:sz w:val="20"/>
        </w:rPr>
        <w:t xml:space="preserve">, compared to $17.9 million for the three months ended March 31, 2022. The decrease in Adjusted EBITDA was attributable to the lower gross profit and higher distribution, selling and administrative costs as described above.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of approximately $17.5 million, checks issued not presented for payment of $14.1 million and access to approximately $55.5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March 31, 2023.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we entered into an amortizing IRS contract with J.P. Morgan Chase Bank for an initial notional amount of $120.0 million, effective from March 1, 2023 and expiring on March 2028, as a means to partially hedge its existing floating rate loans exposure. Pursuant to the agreement, we will pay the swap counterparty a fixed rate of 4.11% in exchange for floating payments based on CME Term SOFR.</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Subsequent to March 31, 2023, effective as of April 20, 2023, we and certain parties to the Delaware Action reached an agreement to settle the Delaware Action on the terms and conditions set forth in a binding term sheet (the “Binding Term Sheet”), which was incorporated into a long-form settlement agreement on May 5, 2023 and filed with the Court of Chancery on May 8, 2023. The Binding Term Sheet provided for, among other things, the dismissal of the Delaware Action with prejudice in exchange for Zhou Min Ni, a former Chairman and Chief Executive Officer of the Company, and Chan Sin Wong, a former President and Chief Operating Officer of the Company, making a payment to the Company in the sum of $9.25 million. The full terms of the settlement of the Delaware Action were incorporated into the long-form settlement agreement, which is subject to approval of the Court of Chancery. Please refer to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table summarizes cash flow data for the years ended March 31, 2023</w:t>
      </w:r>
      <w:r>
        <w:rPr>
          <w:color w:val="000000"/>
        </w:rPr>
        <w:t xml:space="preserve"> </w:t>
      </w:r>
      <w:r>
        <w:rPr>
          <w:rFonts w:ascii="Times New Roman;sans-serif" w:hAnsi="Times New Roman;sans-serif"/>
          <w:b w:val="false"/>
          <w:color w:val="000000"/>
          <w:sz w:val="20"/>
        </w:rPr>
        <w:t>and 2022:</w:t>
      </w:r>
    </w:p>
    <w:tbl>
      <w:tblPr>
        <w:tblW w:w="9671" w:type="dxa"/>
        <w:jc w:val="left"/>
        <w:tblInd w:w="0" w:type="dxa"/>
        <w:tblCellMar>
          <w:top w:w="28" w:type="dxa"/>
          <w:left w:w="28" w:type="dxa"/>
          <w:bottom w:w="28" w:type="dxa"/>
          <w:right w:w="28" w:type="dxa"/>
        </w:tblCellMar>
      </w:tblPr>
      <w:tblGrid>
        <w:gridCol w:w="1562"/>
        <w:gridCol w:w="1375"/>
        <w:gridCol w:w="1382"/>
        <w:gridCol w:w="244"/>
        <w:gridCol w:w="835"/>
        <w:gridCol w:w="126"/>
        <w:gridCol w:w="126"/>
        <w:gridCol w:w="126"/>
        <w:gridCol w:w="126"/>
        <w:gridCol w:w="244"/>
        <w:gridCol w:w="835"/>
        <w:gridCol w:w="126"/>
        <w:gridCol w:w="109"/>
        <w:gridCol w:w="109"/>
        <w:gridCol w:w="109"/>
        <w:gridCol w:w="211"/>
        <w:gridCol w:w="691"/>
        <w:gridCol w:w="109"/>
        <w:gridCol w:w="109"/>
        <w:gridCol w:w="109"/>
        <w:gridCol w:w="109"/>
        <w:gridCol w:w="262"/>
        <w:gridCol w:w="262"/>
        <w:gridCol w:w="375"/>
      </w:tblGrid>
      <w:tr>
        <w:trPr/>
        <w:tc>
          <w:tcPr>
            <w:tcW w:w="156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(96.8)%</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(263.7)%</w:t>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Net cash provided by operating activities consists primarily of net income adjusted for non-cash items, including depreciation and amortization, changes in deferred income taxes and others, and includes the effect of working capital changes. Net cash provided by operating activities increased by $2.5 million, or </w:t>
      </w:r>
      <w:r>
        <w:rPr>
          <w:rFonts w:ascii="Times New Roman;sans-serif" w:hAnsi="Times New Roman;sans-serif"/>
          <w:b w:val="false"/>
          <w:color w:val="000000"/>
          <w:sz w:val="20"/>
          <w:highlight w:val="white"/>
        </w:rPr>
        <w:t>24%</w:t>
      </w:r>
      <w:r>
        <w:rPr>
          <w:rFonts w:ascii="Times New Roman;sans-serif" w:hAnsi="Times New Roman;sans-serif"/>
          <w:b w:val="false"/>
          <w:color w:val="000000"/>
          <w:sz w:val="20"/>
        </w:rPr>
        <w:t>, primarily due to lower working capital requirements for the three months ended March 31, 2023 compared to increased working capital investment as a direct result of increasing sales volume and the need for normal inventory level build up post-COVID-19 for the same period in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Net cash used in investing activities decreased by $19.3 million, or </w:t>
      </w:r>
      <w:r>
        <w:rPr>
          <w:rFonts w:ascii="Times New Roman;sans-serif" w:hAnsi="Times New Roman;sans-serif"/>
          <w:b w:val="false"/>
          <w:color w:val="000000"/>
          <w:sz w:val="20"/>
          <w:highlight w:val="white"/>
        </w:rPr>
        <w:t>97%</w:t>
      </w:r>
      <w:r>
        <w:rPr>
          <w:rFonts w:ascii="Times New Roman;sans-serif" w:hAnsi="Times New Roman;sans-serif"/>
          <w:b w:val="false"/>
          <w:color w:val="000000"/>
          <w:sz w:val="20"/>
        </w:rPr>
        <w:t>, primarily due to the inventory acquired related to the Great Wall Acquisition in the three months ended March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Net cash used in financing activities increased by $30.2 million, or </w:t>
      </w:r>
      <w:r>
        <w:rPr>
          <w:rFonts w:ascii="Times New Roman;sans-serif" w:hAnsi="Times New Roman;sans-serif"/>
          <w:b w:val="false"/>
          <w:color w:val="000000"/>
          <w:sz w:val="20"/>
          <w:highlight w:val="white"/>
        </w:rPr>
        <w:t>264%</w:t>
      </w:r>
      <w:r>
        <w:rPr>
          <w:rFonts w:ascii="Times New Roman;sans-serif" w:hAnsi="Times New Roman;sans-serif"/>
          <w:b w:val="false"/>
          <w:color w:val="000000"/>
          <w:sz w:val="20"/>
        </w:rPr>
        <w:t xml:space="preserve">, primarily due to the net impact of our line of credit from net proceeds of $13.3 million for the three months ended March 31, 2022 to a net repayment of $8.6 million for the three months ended March 31, 2023, as well as the net impact of $7.6 million on our checks issued not presented for payment from net proceeds of $0.7 million for the three months ended March 31, 2022 to net repayments of $7.6 million for the three months ended March 31, 2023.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2022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in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sans-serif" w:hAnsi="Times New Roman;sans-serif"/>
          <w:b w:val="false"/>
          <w:i/>
          <w:color w:val="000000"/>
          <w:sz w:val="20"/>
        </w:rPr>
        <w:t xml:space="preserve">Note 8 - Derivative Financial Instruments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of March 31, 2023, our aggregate floating rate debt’s outstanding principal balance without hedging was $44.5 million, or 27.0% of total debt, consisting of our revolving line of credit (see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to the condensed consolidated financial statements in this Quarterly Report on Form 10-Q). Our floating rate debt interest is based on the floating 1-month SOFR plus a predetermined credit adjustment rate plus the bank spread. The remaining 73.0% of our debt is on a fixed rate or a floating rate with hedging. In a hypothetical scenario, a 1% change in the applicable rate would cause the interest expense on our floating rate debt to change by approximately $0.4 million per year.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fluctuations risk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and average prices in the first quarter of 2023 were consistent in comparison to average prices in the same period of 2022, increasing 0.4%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2022, we identified five material weaknesses as were reported previously, which continue to exist as of March 31, 2023. We did not properly design or maintain effective controls over the control environment, risk assessment, control activities, information and communication components and monitoring of the Committee of Sponsoring Organizations of the Treadway Commission in 2013.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principal executive officer and principal financial and accounting officer have concluded that as a result of the material weaknesses and control deficiencies as reported in our Annual Report on Form 10-K for the year ended December 31, 2022, our disclosure controls and procedures were not effective as of March 31, 2023. Notwithstanding the weaknesses, our management has concluded that the financial statements included elsewhere in this report present fairly, and in all material respects, our financial position, results of operation and cash flow in conformity with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described above, there have been no changes in our internal controls over financial reporting for the quarter ended March 31, 2023, that have materially affected, or are reasonably likely to materially affect, our internal controls over financial reporting.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283"/>
        <w:jc w:val="both"/>
        <w:rPr/>
      </w:pPr>
      <w:r>
        <w:rPr>
          <w:rFonts w:ascii="Times New Roman;sans-serif" w:hAnsi="Times New Roman;sans-serif"/>
          <w:b w:val="false"/>
          <w:color w:val="000000"/>
          <w:sz w:val="20"/>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sans-serif" w:hAnsi="Times New Roman;sans-serif"/>
          <w:b w:val="false"/>
          <w:i/>
          <w:color w:val="000000"/>
          <w:sz w:val="20"/>
        </w:rPr>
        <w:t>Note 14 - Commitments and Contingencies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provided below, there were no material changes from the risk factors disclosed in Item 1A of our Annual Report on Form 10-K for the year ended December 31, 2022.</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below-detailed risks actually occur, our business, financial condition, operating results, cash flows and prospects could be materially and adversely affected. In that event, the market price of our common stock could decline, and you could lose part or all of your investment.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bylaws, as well as provisions of Delaware law, could impair a takeover attempt.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Anti-takeover provisions contained in our amended and restated certificate of incorporation and amended and restated bylaws, as well as provisions of Delaware law, could impair a takeover attempt.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pStyle w:val="TextBody"/>
        <w:spacing w:lineRule="auto" w:line="288" w:before="60" w:after="283"/>
        <w:jc w:val="both"/>
        <w:rPr>
          <w:color w:val="000000"/>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spacing w:lineRule="auto" w:line="288" w:before="60" w:after="283"/>
        <w:jc w:val="both"/>
        <w:rPr>
          <w:color w:val="000000"/>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spacing w:lineRule="auto" w:line="288" w:before="60" w:after="283"/>
        <w:jc w:val="both"/>
        <w:rPr>
          <w:color w:val="000000"/>
        </w:rPr>
      </w:pPr>
      <w:r>
        <w:rPr>
          <w:color w:val="000000"/>
        </w:rPr>
        <w:t>•</w:t>
      </w:r>
      <w:r>
        <w:rPr>
          <w:rFonts w:ascii="Times New Roman;sans-serif" w:hAnsi="Times New Roman;sans-serif"/>
          <w:b w:val="false"/>
          <w:color w:val="000000"/>
          <w:sz w:val="20"/>
        </w:rPr>
        <w:t>limiting the ability of our stockholders to call and bring business before special meetings;</w:t>
      </w:r>
    </w:p>
    <w:p>
      <w:pPr>
        <w:pStyle w:val="TextBody"/>
        <w:spacing w:lineRule="auto" w:line="288" w:before="60" w:after="283"/>
        <w:jc w:val="both"/>
        <w:rPr>
          <w:color w:val="000000"/>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 and</w:t>
      </w:r>
    </w:p>
    <w:p>
      <w:pPr>
        <w:pStyle w:val="TextBody"/>
        <w:spacing w:lineRule="auto" w:line="288" w:before="60" w:after="283"/>
        <w:jc w:val="both"/>
        <w:rPr>
          <w:color w:val="000000"/>
        </w:rPr>
      </w:pPr>
      <w:r>
        <w:rPr>
          <w:color w:val="000000"/>
        </w:rPr>
        <w:t>•</w:t>
      </w:r>
      <w:r>
        <w:rPr>
          <w:rFonts w:ascii="Times New Roman;sans-serif" w:hAnsi="Times New Roman;sans-serif"/>
          <w:b w:val="false"/>
          <w:color w:val="000000"/>
          <w:sz w:val="20"/>
        </w:rPr>
        <w:t>controlling the procedures for the conduct and scheduling of stockholder meetings.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 and amendment of our amended and restated certificate of incorporation to change or modify certain of these provisions requires approval of a super-majority of our stockholders, which we may not be able to obtain.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April 2023, we implemented a stockholder rights plan (the Rights Agreement), also called a “poison pill,” that may have the effect of discouraging or preventing a change of control by, among other things, making it uneconomical for a third party to acquire us without the consent of our board of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tbl>
      <w:tblPr>
        <w:tblW w:w="10205" w:type="dxa"/>
        <w:jc w:val="left"/>
        <w:tblInd w:w="0" w:type="dxa"/>
        <w:tblCellMar>
          <w:top w:w="28" w:type="dxa"/>
          <w:left w:w="28" w:type="dxa"/>
          <w:bottom w:w="28" w:type="dxa"/>
          <w:right w:w="28" w:type="dxa"/>
        </w:tblCellMar>
      </w:tblPr>
      <w:tblGrid>
        <w:gridCol w:w="381"/>
        <w:gridCol w:w="334"/>
        <w:gridCol w:w="335"/>
        <w:gridCol w:w="109"/>
        <w:gridCol w:w="109"/>
        <w:gridCol w:w="109"/>
        <w:gridCol w:w="1933"/>
        <w:gridCol w:w="1827"/>
        <w:gridCol w:w="1846"/>
        <w:gridCol w:w="109"/>
        <w:gridCol w:w="109"/>
        <w:gridCol w:w="109"/>
        <w:gridCol w:w="195"/>
        <w:gridCol w:w="195"/>
        <w:gridCol w:w="196"/>
        <w:gridCol w:w="125"/>
        <w:gridCol w:w="125"/>
        <w:gridCol w:w="125"/>
        <w:gridCol w:w="245"/>
        <w:gridCol w:w="245"/>
        <w:gridCol w:w="246"/>
        <w:gridCol w:w="125"/>
        <w:gridCol w:w="125"/>
        <w:gridCol w:w="125"/>
        <w:gridCol w:w="238"/>
        <w:gridCol w:w="238"/>
        <w:gridCol w:w="347"/>
      </w:tblGrid>
      <w:tr>
        <w:trPr/>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8/11/2017</w:t>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8/27/2018</w:t>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11/4/2022</w:t>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4/26/2023</w:t>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Pr>
                <w:t>4</w:t>
              </w:r>
            </w:hyperlink>
            <w:hyperlink r:id="rId15">
              <w:r>
                <w:rPr>
                  <w:rStyle w:val="InternetLink"/>
                </w:rPr>
                <w:t>.</w:t>
              </w:r>
            </w:hyperlink>
            <w:hyperlink r:id="rId16">
              <w:r>
                <w:rPr>
                  <w:rStyle w:val="InternetLink"/>
                </w:rPr>
                <w:t>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Pr>
                <w:t>4</w:t>
              </w:r>
            </w:hyperlink>
            <w:hyperlink r:id="rId19">
              <w:r>
                <w:rPr>
                  <w:rStyle w:val="InternetLink"/>
                </w:rPr>
                <w:t>.3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Preferred Stock Rights Agreement, dated as of April 11, 2023, by and between HF Foods Group Inc. and American Transfer &amp; Trust Company, LLC, as rights agent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10.1</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u w:val="single"/>
                </w:rPr>
                <w:t>HF Foods Group Inc. Amended and Restated Severance Plan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1/5/2023</w:t>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10.2</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Letter Agreement, dated January 17, 2023, by and among HF Foods Group Inc. and Prudence Kuai</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1/19/2023</w:t>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1q-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1q-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1q-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1q-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1q-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1q-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1q-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1q-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10" w:type="dxa"/>
        <w:jc w:val="left"/>
        <w:tblInd w:w="0" w:type="dxa"/>
        <w:tblCellMar>
          <w:top w:w="28" w:type="dxa"/>
          <w:left w:w="28" w:type="dxa"/>
          <w:bottom w:w="28" w:type="dxa"/>
          <w:right w:w="28" w:type="dxa"/>
        </w:tblCellMar>
      </w:tblPr>
      <w:tblGrid>
        <w:gridCol w:w="124"/>
        <w:gridCol w:w="109"/>
        <w:gridCol w:w="109"/>
        <w:gridCol w:w="848"/>
        <w:gridCol w:w="848"/>
        <w:gridCol w:w="848"/>
        <w:gridCol w:w="848"/>
        <w:gridCol w:w="848"/>
        <w:gridCol w:w="874"/>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Furnished herewith.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14"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arrangement.</w:t>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85" w:type="dxa"/>
        <w:jc w:val="left"/>
        <w:tblInd w:w="0" w:type="dxa"/>
        <w:tblCellMar>
          <w:top w:w="28" w:type="dxa"/>
          <w:left w:w="28" w:type="dxa"/>
          <w:bottom w:w="28" w:type="dxa"/>
          <w:right w:w="28" w:type="dxa"/>
        </w:tblCellMar>
      </w:tblPr>
      <w:tblGrid>
        <w:gridCol w:w="629"/>
        <w:gridCol w:w="554"/>
        <w:gridCol w:w="557"/>
        <w:gridCol w:w="1065"/>
        <w:gridCol w:w="1065"/>
        <w:gridCol w:w="151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Xiao Mou Zhang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b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Carlos Rodriguez</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br/>
              <w:t>(Principal accounting and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Xiao Mou Zhang,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14" w:type="dxa"/>
        <w:jc w:val="left"/>
        <w:tblInd w:w="0" w:type="dxa"/>
        <w:tblCellMar>
          <w:top w:w="28" w:type="dxa"/>
          <w:left w:w="28" w:type="dxa"/>
          <w:bottom w:w="28" w:type="dxa"/>
          <w:right w:w="28" w:type="dxa"/>
        </w:tblCellMar>
      </w:tblPr>
      <w:tblGrid>
        <w:gridCol w:w="629"/>
        <w:gridCol w:w="554"/>
        <w:gridCol w:w="557"/>
        <w:gridCol w:w="134"/>
        <w:gridCol w:w="134"/>
        <w:gridCol w:w="136"/>
        <w:gridCol w:w="606"/>
        <w:gridCol w:w="606"/>
        <w:gridCol w:w="85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Carlos Rodriguez,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54" w:type="dxa"/>
        <w:jc w:val="left"/>
        <w:tblInd w:w="0" w:type="dxa"/>
        <w:tblCellMar>
          <w:top w:w="28" w:type="dxa"/>
          <w:left w:w="28" w:type="dxa"/>
          <w:bottom w:w="28" w:type="dxa"/>
          <w:right w:w="28" w:type="dxa"/>
        </w:tblCellMar>
      </w:tblPr>
      <w:tblGrid>
        <w:gridCol w:w="629"/>
        <w:gridCol w:w="554"/>
        <w:gridCol w:w="557"/>
        <w:gridCol w:w="134"/>
        <w:gridCol w:w="134"/>
        <w:gridCol w:w="136"/>
        <w:gridCol w:w="588"/>
        <w:gridCol w:w="588"/>
        <w:gridCol w:w="83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March 31, 2023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214" w:type="dxa"/>
        <w:jc w:val="left"/>
        <w:tblInd w:w="0" w:type="dxa"/>
        <w:tblCellMar>
          <w:top w:w="28" w:type="dxa"/>
          <w:left w:w="28" w:type="dxa"/>
          <w:bottom w:w="28" w:type="dxa"/>
          <w:right w:w="28" w:type="dxa"/>
        </w:tblCellMar>
      </w:tblPr>
      <w:tblGrid>
        <w:gridCol w:w="629"/>
        <w:gridCol w:w="554"/>
        <w:gridCol w:w="557"/>
        <w:gridCol w:w="134"/>
        <w:gridCol w:w="134"/>
        <w:gridCol w:w="136"/>
        <w:gridCol w:w="606"/>
        <w:gridCol w:w="606"/>
        <w:gridCol w:w="85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10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March 31, 2023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154" w:type="dxa"/>
        <w:jc w:val="left"/>
        <w:tblInd w:w="0" w:type="dxa"/>
        <w:tblCellMar>
          <w:top w:w="28" w:type="dxa"/>
          <w:left w:w="28" w:type="dxa"/>
          <w:bottom w:w="28" w:type="dxa"/>
          <w:right w:w="28" w:type="dxa"/>
        </w:tblCellMar>
      </w:tblPr>
      <w:tblGrid>
        <w:gridCol w:w="629"/>
        <w:gridCol w:w="554"/>
        <w:gridCol w:w="557"/>
        <w:gridCol w:w="134"/>
        <w:gridCol w:w="134"/>
        <w:gridCol w:w="136"/>
        <w:gridCol w:w="588"/>
        <w:gridCol w:w="588"/>
        <w:gridCol w:w="83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0873/000143774919021487/ex_162902.htm" TargetMode="External"/><Relationship Id="rId3" Type="http://schemas.openxmlformats.org/officeDocument/2006/relationships/hyperlink" Target="http://www.sec.gov/Archives/edgar/data/1680873/000143774919021487/ex_162902.htm" TargetMode="External"/><Relationship Id="rId4" Type="http://schemas.openxmlformats.org/officeDocument/2006/relationships/hyperlink" Target="https://www.sec.gov/Archives/edgar/data/1680873/000161577418008665/s112256ex3_1-2.htm" TargetMode="External"/><Relationship Id="rId5" Type="http://schemas.openxmlformats.org/officeDocument/2006/relationships/hyperlink" Target="https://www.sec.gov/Archives/edgar/data/1680873/000161577418008665/s112256ex3_1-2.htm" TargetMode="External"/><Relationship Id="rId6" Type="http://schemas.openxmlformats.org/officeDocument/2006/relationships/hyperlink" Target="http://www.sec.gov/Archives/edgar/data/1680873/000168087322000056/ex302-arbylawsxnovember2022.htm" TargetMode="External"/><Relationship Id="rId7" Type="http://schemas.openxmlformats.org/officeDocument/2006/relationships/hyperlink" Target="http://www.sec.gov/Archives/edgar/data/1680873/000168087322000056/ex302-arbylawsxnovember2022.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68087323000016/exhibit31-bylawamendment.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19312523098200/d425223dex31.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2.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1577417003872/s106920_ex4-5.htm" TargetMode="External"/><Relationship Id="rId16" Type="http://schemas.openxmlformats.org/officeDocument/2006/relationships/hyperlink" Target="https://www.sec.gov/Archives/edgar/data/1680873/000161577417003872/s106920_ex4-5.htm" TargetMode="External"/><Relationship Id="rId17" Type="http://schemas.openxmlformats.org/officeDocument/2006/relationships/hyperlink" Target="https://www.sec.gov/Archives/edgar/data/1680873/000161577417003872/s106920_ex4-5.htm" TargetMode="External"/><Relationship Id="rId18" Type="http://schemas.openxmlformats.org/officeDocument/2006/relationships/hyperlink" Target="https://www.sec.gov/Archives/edgar/data/1680873/000119312523098200/d425223dex41.htm" TargetMode="External"/><Relationship Id="rId19" Type="http://schemas.openxmlformats.org/officeDocument/2006/relationships/hyperlink" Target="https://www.sec.gov/Archives/edgar/data/1680873/000119312523098200/d425223dex41.htm" TargetMode="External"/><Relationship Id="rId20" Type="http://schemas.openxmlformats.org/officeDocument/2006/relationships/hyperlink" Target="https://www.sec.gov/Archives/edgar/data/1680873/000119312523098200/d425223dex41.htm" TargetMode="External"/><Relationship Id="rId21" Type="http://schemas.openxmlformats.org/officeDocument/2006/relationships/hyperlink" Target="http://www.sec.gov/Archives/edgar/data/1680873/000168087323000001/ex101-amendedseveranceplan.htm" TargetMode="External"/><Relationship Id="rId22" Type="http://schemas.openxmlformats.org/officeDocument/2006/relationships/hyperlink" Target="http://www.sec.gov/Archives/edgar/data/1680873/000168087323000001/ex101-amendedseveranceplan.htm" TargetMode="External"/><Relationship Id="rId23" Type="http://schemas.openxmlformats.org/officeDocument/2006/relationships/hyperlink" Target="http://www.sec.gov/Archives/edgar/data/1680873/000168087323000002/ex101-letteragreement11823.htm" TargetMode="External"/><Relationship Id="rId24" Type="http://schemas.openxmlformats.org/officeDocument/2006/relationships/hyperlink" Target="https://www.sec.gov/Archives/edgar/data/1680873/000168087323000002/ex101-letteragreement11823.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16838</Words>
  <CharactersWithSpaces>108002</CharactersWithSpaces>
  <Paragraphs>2050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