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60" w:after="283"/>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__________________________________________________________________________</w:t>
      </w:r>
    </w:p>
    <w:p>
      <w:pPr>
        <w:pStyle w:val="TextBody"/>
        <w:bidi w:val="0"/>
        <w:spacing w:lineRule="auto" w:line="288" w:before="160" w:after="283"/>
        <w:jc w:val="center"/>
        <w:rPr>
          <w:rFonts w:ascii="Arial;sans-serif" w:hAnsi="Arial;sans-serif"/>
          <w:b/>
          <w:color w:val="000000"/>
          <w:sz w:val="28"/>
        </w:rPr>
      </w:pPr>
      <w:r>
        <w:rPr>
          <w:rFonts w:ascii="Arial;sans-serif" w:hAnsi="Arial;sans-serif"/>
          <w:b/>
          <w:color w:val="000000"/>
          <w:sz w:val="28"/>
        </w:rPr>
        <w:t>FORM 10-Q</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(Mark one)</w:t>
      </w:r>
    </w:p>
    <w:p>
      <w:pPr>
        <w:pStyle w:val="TextBody"/>
        <w:bidi w:val="0"/>
        <w:spacing w:lineRule="auto" w:line="288" w:before="240" w:after="283"/>
        <w:jc w:val="center"/>
        <w:rPr/>
      </w:pPr>
      <w:r>
        <w:rPr>
          <w:color w:val="000000"/>
        </w:rPr>
        <w:t>☒ </w:t>
      </w:r>
      <w:r>
        <w:rPr>
          <w:rFonts w:ascii="Arial;sans-serif" w:hAnsi="Arial;sans-serif"/>
          <w:b/>
          <w:color w:val="000000"/>
          <w:sz w:val="18"/>
        </w:rPr>
        <w:t>QUARTERLY REPORT PURSUANT TO SECTION 13 OR 15(d) OF THE SECURITIES EXCHANGE ACT OF 1934</w:t>
      </w:r>
      <w:r>
        <w:rPr>
          <w:color w:val="000000"/>
        </w:rPr>
        <w:t> </w:t>
      </w:r>
    </w:p>
    <w:p>
      <w:pPr>
        <w:pStyle w:val="TextBody"/>
        <w:bidi w:val="0"/>
        <w:spacing w:lineRule="auto" w:line="288" w:before="160" w:after="283"/>
        <w:jc w:val="center"/>
        <w:rPr>
          <w:rFonts w:ascii="Arial;sans-serif" w:hAnsi="Arial;sans-serif"/>
          <w:b/>
          <w:color w:val="000000"/>
          <w:sz w:val="18"/>
        </w:rPr>
      </w:pPr>
      <w:r>
        <w:rPr>
          <w:rFonts w:ascii="Arial;sans-serif" w:hAnsi="Arial;sans-serif"/>
          <w:b/>
          <w:color w:val="000000"/>
          <w:sz w:val="18"/>
        </w:rPr>
        <w:t xml:space="preserve">For the quarterly period ended March 31, 2026 </w:t>
      </w:r>
    </w:p>
    <w:p>
      <w:pPr>
        <w:pStyle w:val="TextBody"/>
        <w:bidi w:val="0"/>
        <w:spacing w:lineRule="auto" w:line="288" w:before="240" w:after="283"/>
        <w:jc w:val="center"/>
        <w:rPr/>
      </w:pPr>
      <w:r>
        <w:rPr>
          <w:color w:val="000000"/>
        </w:rPr>
        <w:t xml:space="preserve">☐ </w:t>
      </w:r>
      <w:r>
        <w:rPr>
          <w:rFonts w:ascii="Arial;sans-serif" w:hAnsi="Arial;sans-serif"/>
          <w:b/>
          <w:color w:val="000000"/>
          <w:sz w:val="18"/>
        </w:rPr>
        <w:t>TRANSITION REPORT PURSUANT TO SECTION 13 OR 15(d) OF THE SECURITIES EXCHANGE ACT OF 1934</w:t>
      </w:r>
    </w:p>
    <w:p>
      <w:pPr>
        <w:pStyle w:val="TextBody"/>
        <w:bidi w:val="0"/>
        <w:spacing w:lineRule="auto" w:line="288" w:before="160" w:after="283"/>
        <w:jc w:val="center"/>
        <w:rPr/>
      </w:pPr>
      <w:r>
        <w:rPr>
          <w:rFonts w:ascii="Arial;sans-serif" w:hAnsi="Arial;sans-serif"/>
          <w:b w:val="false"/>
          <w:color w:val="000000"/>
          <w:sz w:val="18"/>
        </w:rPr>
        <w:t xml:space="preserve">For the transition period from </w:t>
      </w:r>
      <w:r>
        <w:rPr>
          <w:rFonts w:ascii="Arial;sans-serif" w:hAnsi="Arial;sans-serif"/>
          <w:b w:val="false"/>
          <w:color w:val="000000"/>
          <w:sz w:val="12"/>
        </w:rPr>
        <w:t xml:space="preserve">_______________________ </w:t>
      </w:r>
      <w:r>
        <w:rPr>
          <w:rFonts w:ascii="Arial;sans-serif" w:hAnsi="Arial;sans-serif"/>
          <w:b w:val="false"/>
          <w:color w:val="000000"/>
          <w:sz w:val="18"/>
        </w:rPr>
        <w:t xml:space="preserve">to </w:t>
      </w:r>
      <w:r>
        <w:rPr>
          <w:rFonts w:ascii="Arial;sans-serif" w:hAnsi="Arial;sans-serif"/>
          <w:b w:val="false"/>
          <w:color w:val="000000"/>
          <w:sz w:val="12"/>
        </w:rPr>
        <w:t>_______________________</w:t>
      </w:r>
      <w:r>
        <w:rPr>
          <w:rFonts w:ascii="Arial;sans-serif" w:hAnsi="Arial;sans-serif"/>
          <w:b w:val="false"/>
          <w:color w:val="000000"/>
          <w:sz w:val="18"/>
        </w:rPr>
        <w:t>.</w:t>
      </w:r>
    </w:p>
    <w:p>
      <w:pPr>
        <w:pStyle w:val="TextBody"/>
        <w:bidi w:val="0"/>
        <w:spacing w:lineRule="auto" w:line="288" w:before="160" w:after="283"/>
        <w:jc w:val="center"/>
        <w:rPr>
          <w:rFonts w:ascii="Arial;sans-serif" w:hAnsi="Arial;sans-serif"/>
          <w:b/>
          <w:color w:val="000000"/>
          <w:sz w:val="18"/>
        </w:rPr>
      </w:pPr>
      <w:r>
        <w:rPr>
          <w:rFonts w:ascii="Arial;sans-serif" w:hAnsi="Arial;sans-serif"/>
          <w:b/>
          <w:color w:val="000000"/>
          <w:sz w:val="18"/>
        </w:rPr>
        <w:t>Commission File Number: 001-38180</w:t>
      </w:r>
    </w:p>
    <w:p>
      <w:pPr>
        <w:pStyle w:val="TextBody"/>
        <w:bidi w:val="0"/>
        <w:spacing w:lineRule="auto" w:line="288" w:before="160" w:after="283"/>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__________________________________________________________________________</w:t>
      </w:r>
    </w:p>
    <w:p>
      <w:pPr>
        <w:pStyle w:val="TextBody"/>
        <w:bidi w:val="0"/>
        <w:spacing w:before="160" w:after="283"/>
        <w:jc w:val="center"/>
        <w:rPr/>
      </w:pPr>
      <w:r>
        <w:rPr/>
        <w:drawing>
          <wp:inline distT="0" distB="0" distL="0" distR="0">
            <wp:extent cx="27432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38200"/>
                    </a:xfrm>
                    <a:prstGeom prst="rect">
                      <a:avLst/>
                    </a:prstGeom>
                  </pic:spPr>
                </pic:pic>
              </a:graphicData>
            </a:graphic>
          </wp:inline>
        </w:drawing>
      </w:r>
      <w:bookmarkStart w:id="0" w:name="i-1"/>
      <w:bookmarkEnd w:id="0"/>
    </w:p>
    <w:p>
      <w:pPr>
        <w:pStyle w:val="TextBody"/>
        <w:bidi w:val="0"/>
        <w:spacing w:lineRule="auto" w:line="288" w:before="160" w:after="283"/>
        <w:jc w:val="center"/>
        <w:rPr>
          <w:rFonts w:ascii="Arial;sans-serif" w:hAnsi="Arial;sans-serif"/>
          <w:b/>
          <w:color w:val="000000"/>
          <w:sz w:val="24"/>
        </w:rPr>
      </w:pPr>
      <w:r>
        <w:rPr>
          <w:rFonts w:ascii="Arial;sans-serif" w:hAnsi="Arial;sans-serif"/>
          <w:b/>
          <w:color w:val="000000"/>
          <w:sz w:val="24"/>
        </w:rPr>
        <w:t>HF FOODS GROUP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7800" w:type="dxa"/>
        <w:jc w:val="left"/>
        <w:tblInd w:w="0" w:type="dxa"/>
        <w:tblLayout w:type="fixed"/>
        <w:tblCellMar>
          <w:top w:w="28" w:type="dxa"/>
          <w:left w:w="28" w:type="dxa"/>
          <w:bottom w:w="28" w:type="dxa"/>
          <w:right w:w="28" w:type="dxa"/>
        </w:tblCellMar>
      </w:tblPr>
      <w:tblGrid>
        <w:gridCol w:w="1760"/>
        <w:gridCol w:w="1546"/>
        <w:gridCol w:w="1554"/>
        <w:gridCol w:w="860"/>
        <w:gridCol w:w="860"/>
        <w:gridCol w:w="1220"/>
      </w:tblGrid>
      <w:tr>
        <w:trPr/>
        <w:tc>
          <w:tcPr>
            <w:tcW w:w="176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81-2717873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7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6325 South Rainbow Boulevard, Suite 420, Las Vegas, NV 89118</w:t>
            </w:r>
          </w:p>
        </w:tc>
      </w:tr>
      <w:tr>
        <w:trPr/>
        <w:tc>
          <w:tcPr>
            <w:tcW w:w="78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tc>
      </w:tr>
    </w:tbl>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(888) 905-0998</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323" w:type="dxa"/>
        <w:jc w:val="left"/>
        <w:tblInd w:w="0" w:type="dxa"/>
        <w:tblLayout w:type="fixed"/>
        <w:tblCellMar>
          <w:top w:w="28" w:type="dxa"/>
          <w:left w:w="28" w:type="dxa"/>
          <w:bottom w:w="28" w:type="dxa"/>
          <w:right w:w="28" w:type="dxa"/>
        </w:tblCellMar>
      </w:tblPr>
      <w:tblGrid>
        <w:gridCol w:w="1063"/>
        <w:gridCol w:w="933"/>
        <w:gridCol w:w="943"/>
        <w:gridCol w:w="479"/>
        <w:gridCol w:w="479"/>
        <w:gridCol w:w="481"/>
        <w:gridCol w:w="1154"/>
        <w:gridCol w:w="1154"/>
        <w:gridCol w:w="1637"/>
      </w:tblGrid>
      <w:tr>
        <w:trPr/>
        <w:tc>
          <w:tcPr>
            <w:tcW w:w="106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$0.0001 par value</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HFFG</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r>
        <w:trPr/>
        <w:tc>
          <w:tcPr>
            <w:tcW w:w="2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Preferred Share Purchase Rights</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Nasdaq Capital Market</w:t>
            </w:r>
          </w:p>
        </w:tc>
      </w:tr>
    </w:tbl>
    <w:p>
      <w:pPr>
        <w:pStyle w:val="TextBody"/>
        <w:bidi w:val="0"/>
        <w:spacing w:lineRule="auto" w:line="288" w:before="20" w:after="283"/>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56" w:type="dxa"/>
        <w:jc w:val="left"/>
        <w:tblInd w:w="0" w:type="dxa"/>
        <w:tblLayout w:type="fixed"/>
        <w:tblCellMar>
          <w:top w:w="28" w:type="dxa"/>
          <w:left w:w="28" w:type="dxa"/>
          <w:bottom w:w="28" w:type="dxa"/>
          <w:right w:w="28" w:type="dxa"/>
        </w:tblCellMar>
      </w:tblPr>
      <w:tblGrid>
        <w:gridCol w:w="705"/>
        <w:gridCol w:w="620"/>
        <w:gridCol w:w="624"/>
        <w:gridCol w:w="125"/>
        <w:gridCol w:w="125"/>
        <w:gridCol w:w="126"/>
        <w:gridCol w:w="769"/>
        <w:gridCol w:w="769"/>
        <w:gridCol w:w="772"/>
        <w:gridCol w:w="123"/>
        <w:gridCol w:w="123"/>
        <w:gridCol w:w="175"/>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Yes ☐ No ☒</w:t>
      </w:r>
    </w:p>
    <w:p>
      <w:pPr>
        <w:pStyle w:val="TextBody"/>
        <w:bidi w:val="0"/>
        <w:spacing w:lineRule="auto" w:line="288" w:before="160" w:after="283"/>
        <w:jc w:val="left"/>
        <w:rPr/>
      </w:pPr>
      <w:r>
        <w:rPr>
          <w:rFonts w:ascii="Arial;sans-serif" w:hAnsi="Arial;sans-serif"/>
          <w:b w:val="false"/>
          <w:color w:val="000000"/>
          <w:sz w:val="18"/>
        </w:rPr>
        <w:t>As of May 8, 2026, the registrant had</w:t>
      </w:r>
      <w:r>
        <w:rPr>
          <w:color w:val="E31937"/>
        </w:rPr>
        <w:t xml:space="preserve"> </w:t>
      </w:r>
      <w:r>
        <w:rPr>
          <w:rFonts w:ascii="Arial;sans-serif" w:hAnsi="Arial;sans-serif"/>
          <w:b w:val="false"/>
          <w:color w:val="000000"/>
          <w:sz w:val="18"/>
        </w:rPr>
        <w:t>53,475,417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7660"/>
                <wp:effectExtent l="0" t="0" r="0" b="0"/>
                <wp:wrapNone/>
                <wp:docPr id="3"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Form 10-Q for the Quarter Ended March 31, 2026</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Table of Contents</w:t>
      </w:r>
    </w:p>
    <w:tbl>
      <w:tblPr>
        <w:tblW w:w="9614" w:type="dxa"/>
        <w:jc w:val="left"/>
        <w:tblInd w:w="0" w:type="dxa"/>
        <w:tblLayout w:type="fixed"/>
        <w:tblCellMar>
          <w:top w:w="28" w:type="dxa"/>
          <w:left w:w="28" w:type="dxa"/>
          <w:bottom w:w="28" w:type="dxa"/>
          <w:right w:w="28" w:type="dxa"/>
        </w:tblCellMar>
      </w:tblPr>
      <w:tblGrid>
        <w:gridCol w:w="286"/>
        <w:gridCol w:w="252"/>
        <w:gridCol w:w="256"/>
        <w:gridCol w:w="2738"/>
        <w:gridCol w:w="2738"/>
        <w:gridCol w:w="2758"/>
        <w:gridCol w:w="171"/>
        <w:gridCol w:w="171"/>
        <w:gridCol w:w="244"/>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0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u w:val="single"/>
              </w:rPr>
            </w:pPr>
            <w:r>
              <w:rPr>
                <w:rFonts w:ascii="Arial;sans-serif" w:hAnsi="Arial;sans-serif"/>
                <w:b/>
                <w:color w:val="000000"/>
                <w:sz w:val="18"/>
                <w:u w:val="single"/>
              </w:rPr>
              <w:t>Page</w:t>
            </w:r>
          </w:p>
        </w:tc>
      </w:tr>
      <w:tr>
        <w:trPr/>
        <w:tc>
          <w:tcPr>
            <w:tcW w:w="90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w:t>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271">
              <w:r>
                <w:rPr>
                  <w:rStyle w:val="InternetLink"/>
                  <w:rFonts w:ascii="Arial;sans-serif" w:hAnsi="Arial;sans-serif"/>
                  <w:b/>
                  <w:strike w:val="false"/>
                  <w:dstrike w:val="false"/>
                  <w:color w:val="000000"/>
                  <w:sz w:val="18"/>
                  <w:u w:val="none"/>
                  <w:effect w:val="none"/>
                </w:rPr>
                <w:t>FINANCIAL INFORMATION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277">
              <w:r>
                <w:rPr>
                  <w:rStyle w:val="InternetLink"/>
                  <w:rFonts w:ascii="Arial;sans-serif" w:hAnsi="Arial;sans-serif"/>
                  <w:b w:val="false"/>
                  <w:strike w:val="false"/>
                  <w:dstrike w:val="false"/>
                  <w:color w:val="000000"/>
                  <w:sz w:val="18"/>
                  <w:u w:val="none"/>
                  <w:effect w:val="none"/>
                </w:rPr>
                <w:t>Financial Statements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277">
              <w:r>
                <w:rPr>
                  <w:rStyle w:val="InternetLink"/>
                  <w:rFonts w:ascii="Arial;sans-serif" w:hAnsi="Arial;sans-serif"/>
                  <w:b w:val="false"/>
                  <w:strike w:val="false"/>
                  <w:dstrike w:val="false"/>
                  <w:color w:val="000000"/>
                  <w:sz w:val="18"/>
                  <w:u w:val="none"/>
                  <w:effect w:val="none"/>
                </w:rPr>
                <w:t>1</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88">
              <w:r>
                <w:rPr>
                  <w:rStyle w:val="InternetLink"/>
                  <w:rFonts w:ascii="Arial;sans-serif" w:hAnsi="Arial;sans-serif"/>
                  <w:b w:val="false"/>
                  <w:strike w:val="false"/>
                  <w:dstrike w:val="false"/>
                  <w:color w:val="000000"/>
                  <w:sz w:val="18"/>
                  <w:u w:val="none"/>
                  <w:effect w:val="none"/>
                </w:rPr>
                <w:t>Condensed Consolidated Balance Sheets (Unaudited)</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88">
              <w:r>
                <w:rPr>
                  <w:rStyle w:val="InternetLink"/>
                  <w:rFonts w:ascii="Arial;sans-serif" w:hAnsi="Arial;sans-serif"/>
                  <w:b w:val="false"/>
                  <w:strike w:val="false"/>
                  <w:dstrike w:val="false"/>
                  <w:color w:val="000000"/>
                  <w:sz w:val="18"/>
                  <w:u w:val="none"/>
                  <w:effect w:val="none"/>
                </w:rPr>
                <w:t>1</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94">
              <w:r>
                <w:rPr>
                  <w:rStyle w:val="InternetLink"/>
                  <w:rFonts w:ascii="Arial;sans-serif" w:hAnsi="Arial;sans-serif"/>
                  <w:b w:val="false"/>
                  <w:strike w:val="false"/>
                  <w:dstrike w:val="false"/>
                  <w:color w:val="000080"/>
                  <w:sz w:val="18"/>
                  <w:u w:val="single"/>
                  <w:effect w:val="none"/>
                </w:rPr>
                <w:t xml:space="preserve">Condensed </w:t>
              </w:r>
            </w:hyperlink>
            <w:hyperlink w:anchor="i2a052b58ef7440cd887c3c13373de70c_94">
              <w:r>
                <w:rPr>
                  <w:rStyle w:val="InternetLink"/>
                  <w:rFonts w:ascii="Arial;sans-serif" w:hAnsi="Arial;sans-serif"/>
                  <w:b w:val="false"/>
                  <w:strike w:val="false"/>
                  <w:dstrike w:val="false"/>
                  <w:color w:val="000080"/>
                  <w:sz w:val="18"/>
                  <w:u w:val="single"/>
                  <w:effect w:val="none"/>
                </w:rPr>
                <w:t>Consolidated Statements of Operations and Comprehensive Income (Loss)</w:t>
              </w:r>
            </w:hyperlink>
            <w:r>
              <w:rPr>
                <w:rFonts w:ascii="Arial;sans-serif" w:hAnsi="Arial;sans-serif"/>
                <w:b w:val="false"/>
                <w:color w:val="000000"/>
                <w:sz w:val="18"/>
              </w:rPr>
              <w:t xml:space="preserve"> </w:t>
            </w:r>
            <w:hyperlink w:anchor="i2a052b58ef7440cd887c3c13373de70c_22">
              <w:r>
                <w:rPr>
                  <w:rStyle w:val="InternetLink"/>
                  <w:rFonts w:ascii="Arial;sans-serif" w:hAnsi="Arial;sans-serif"/>
                  <w:b w:val="false"/>
                  <w:strike w:val="false"/>
                  <w:dstrike w:val="false"/>
                  <w:color w:val="000000"/>
                  <w:sz w:val="18"/>
                  <w:u w:val="none"/>
                  <w:effect w:val="none"/>
                </w:rPr>
                <w:t>(Unaudited)</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94">
              <w:r>
                <w:rPr>
                  <w:rStyle w:val="InternetLink"/>
                  <w:rFonts w:ascii="Arial;sans-serif" w:hAnsi="Arial;sans-serif"/>
                  <w:b w:val="false"/>
                  <w:strike w:val="false"/>
                  <w:dstrike w:val="false"/>
                  <w:color w:val="000000"/>
                  <w:sz w:val="18"/>
                  <w:u w:val="none"/>
                  <w:effect w:val="none"/>
                </w:rPr>
                <w:t>2</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97">
              <w:r>
                <w:rPr>
                  <w:rStyle w:val="InternetLink"/>
                  <w:rFonts w:ascii="Arial;sans-serif" w:hAnsi="Arial;sans-serif"/>
                  <w:b w:val="false"/>
                  <w:strike w:val="false"/>
                  <w:dstrike w:val="false"/>
                  <w:color w:val="000000"/>
                  <w:sz w:val="18"/>
                  <w:u w:val="none"/>
                  <w:effect w:val="none"/>
                </w:rPr>
                <w:t>Condensed Consolidated Statements of Cash Flows (Unaudited)</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97">
              <w:r>
                <w:rPr>
                  <w:rStyle w:val="InternetLink"/>
                  <w:rFonts w:ascii="Arial;sans-serif" w:hAnsi="Arial;sans-serif"/>
                  <w:b w:val="false"/>
                  <w:strike w:val="false"/>
                  <w:dstrike w:val="false"/>
                  <w:color w:val="000000"/>
                  <w:sz w:val="18"/>
                  <w:u w:val="none"/>
                  <w:effect w:val="none"/>
                </w:rPr>
                <w:t>3</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100">
              <w:r>
                <w:rPr>
                  <w:rStyle w:val="InternetLink"/>
                  <w:rFonts w:ascii="Arial;sans-serif" w:hAnsi="Arial;sans-serif"/>
                  <w:b w:val="false"/>
                  <w:strike w:val="false"/>
                  <w:dstrike w:val="false"/>
                  <w:color w:val="000000"/>
                  <w:sz w:val="18"/>
                  <w:u w:val="none"/>
                  <w:effect w:val="none"/>
                </w:rPr>
                <w:t>Condensed Consolidated Statements of Changes in Shareholders’ Equity (Unaudited)</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100">
              <w:r>
                <w:rPr>
                  <w:rStyle w:val="InternetLink"/>
                  <w:rFonts w:ascii="Arial;sans-serif" w:hAnsi="Arial;sans-serif"/>
                  <w:b w:val="false"/>
                  <w:strike w:val="false"/>
                  <w:dstrike w:val="false"/>
                  <w:color w:val="000000"/>
                  <w:sz w:val="18"/>
                  <w:u w:val="none"/>
                  <w:effect w:val="none"/>
                </w:rPr>
                <w:t>4</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103">
              <w:r>
                <w:rPr>
                  <w:rStyle w:val="InternetLink"/>
                  <w:rFonts w:ascii="Arial;sans-serif" w:hAnsi="Arial;sans-serif"/>
                  <w:b w:val="false"/>
                  <w:strike w:val="false"/>
                  <w:dstrike w:val="false"/>
                  <w:color w:val="000000"/>
                  <w:sz w:val="18"/>
                  <w:u w:val="none"/>
                  <w:effect w:val="none"/>
                </w:rPr>
                <w:t>Notes to Unaudited Condensed Consolidated Financial Statements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103">
              <w:r>
                <w:rPr>
                  <w:rStyle w:val="InternetLink"/>
                  <w:rFonts w:ascii="Arial;sans-serif" w:hAnsi="Arial;sans-serif"/>
                  <w:b w:val="false"/>
                  <w:strike w:val="false"/>
                  <w:dstrike w:val="false"/>
                  <w:color w:val="000000"/>
                  <w:sz w:val="18"/>
                  <w:u w:val="none"/>
                  <w:effect w:val="none"/>
                </w:rPr>
                <w:t>5</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280">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280">
              <w:r>
                <w:rPr>
                  <w:rStyle w:val="InternetLink"/>
                  <w:rFonts w:ascii="Arial;sans-serif" w:hAnsi="Arial;sans-serif"/>
                  <w:b w:val="false"/>
                  <w:strike w:val="false"/>
                  <w:dstrike w:val="false"/>
                  <w:color w:val="000000"/>
                  <w:sz w:val="18"/>
                  <w:u w:val="none"/>
                  <w:effect w:val="none"/>
                </w:rPr>
                <w:t>19</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Q</w:t>
            </w:r>
            <w:hyperlink w:anchor="i2a052b58ef7440cd887c3c13373de70c_73">
              <w:r>
                <w:rPr>
                  <w:rStyle w:val="InternetLink"/>
                  <w:rFonts w:ascii="Arial;sans-serif" w:hAnsi="Arial;sans-serif"/>
                  <w:b w:val="false"/>
                  <w:strike w:val="false"/>
                  <w:dstrike w:val="false"/>
                  <w:color w:val="000000"/>
                  <w:sz w:val="18"/>
                  <w:u w:val="none"/>
                  <w:effect w:val="none"/>
                </w:rPr>
                <w:t>uantitative and Qualitative Disclosures about Market Risk</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73">
              <w:r>
                <w:rPr>
                  <w:rStyle w:val="InternetLink"/>
                  <w:rFonts w:ascii="Arial;sans-serif" w:hAnsi="Arial;sans-serif"/>
                  <w:b w:val="false"/>
                  <w:strike w:val="false"/>
                  <w:dstrike w:val="false"/>
                  <w:color w:val="000000"/>
                  <w:sz w:val="18"/>
                  <w:u w:val="none"/>
                  <w:effect w:val="none"/>
                </w:rPr>
                <w:t>24</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226">
              <w:r>
                <w:rPr>
                  <w:rStyle w:val="InternetLink"/>
                  <w:rFonts w:ascii="Arial;sans-serif" w:hAnsi="Arial;sans-serif"/>
                  <w:b w:val="false"/>
                  <w:strike w:val="false"/>
                  <w:dstrike w:val="false"/>
                  <w:color w:val="000000"/>
                  <w:sz w:val="18"/>
                  <w:u w:val="none"/>
                  <w:effect w:val="none"/>
                </w:rPr>
                <w:t>Controls and Procedures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226">
              <w:r>
                <w:rPr>
                  <w:rStyle w:val="InternetLink"/>
                  <w:rFonts w:ascii="Arial;sans-serif" w:hAnsi="Arial;sans-serif"/>
                  <w:b w:val="false"/>
                  <w:strike w:val="false"/>
                  <w:dstrike w:val="false"/>
                  <w:color w:val="000000"/>
                  <w:sz w:val="18"/>
                  <w:u w:val="none"/>
                  <w:effect w:val="none"/>
                </w:rPr>
                <w:t>24</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II.</w:t>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292">
              <w:r>
                <w:rPr>
                  <w:rStyle w:val="InternetLink"/>
                  <w:rFonts w:ascii="Arial;sans-serif" w:hAnsi="Arial;sans-serif"/>
                  <w:b/>
                  <w:strike w:val="false"/>
                  <w:dstrike w:val="false"/>
                  <w:color w:val="000000"/>
                  <w:sz w:val="18"/>
                  <w:u w:val="none"/>
                  <w:effect w:val="none"/>
                </w:rPr>
                <w:t>OTHER INFORMATION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w:t>
            </w:r>
            <w:hyperlink w:anchor="i2a052b58ef7440cd887c3c13373de70c_295">
              <w:r>
                <w:rPr>
                  <w:rStyle w:val="InternetLink"/>
                  <w:rFonts w:ascii="Arial;sans-serif" w:hAnsi="Arial;sans-serif"/>
                  <w:b w:val="false"/>
                  <w:strike w:val="false"/>
                  <w:dstrike w:val="false"/>
                  <w:color w:val="000000"/>
                  <w:sz w:val="18"/>
                  <w:u w:val="none"/>
                  <w:effect w:val="none"/>
                </w:rPr>
                <w:t>egal Proceedings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295">
              <w:r>
                <w:rPr>
                  <w:rStyle w:val="InternetLink"/>
                  <w:rFonts w:ascii="Arial;sans-serif" w:hAnsi="Arial;sans-serif"/>
                  <w:b w:val="false"/>
                  <w:strike w:val="false"/>
                  <w:dstrike w:val="false"/>
                  <w:color w:val="000000"/>
                  <w:sz w:val="18"/>
                  <w:u w:val="none"/>
                  <w:effect w:val="none"/>
                </w:rPr>
                <w:t>26</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298">
              <w:r>
                <w:rPr>
                  <w:rStyle w:val="InternetLink"/>
                  <w:rFonts w:ascii="Arial;sans-serif" w:hAnsi="Arial;sans-serif"/>
                  <w:b w:val="false"/>
                  <w:strike w:val="false"/>
                  <w:dstrike w:val="false"/>
                  <w:color w:val="000000"/>
                  <w:sz w:val="18"/>
                  <w:u w:val="none"/>
                  <w:effect w:val="none"/>
                </w:rPr>
                <w:t>Risk Factors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298">
              <w:r>
                <w:rPr>
                  <w:rStyle w:val="InternetLink"/>
                  <w:rFonts w:ascii="Arial;sans-serif" w:hAnsi="Arial;sans-serif"/>
                  <w:b w:val="false"/>
                  <w:strike w:val="false"/>
                  <w:dstrike w:val="false"/>
                  <w:color w:val="000000"/>
                  <w:sz w:val="18"/>
                  <w:u w:val="none"/>
                  <w:effect w:val="none"/>
                </w:rPr>
                <w:t>26</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301">
              <w:r>
                <w:rPr>
                  <w:rStyle w:val="InternetLink"/>
                  <w:rFonts w:ascii="Arial;sans-serif" w:hAnsi="Arial;sans-serif"/>
                  <w:b w:val="false"/>
                  <w:strike w:val="false"/>
                  <w:dstrike w:val="false"/>
                  <w:color w:val="000000"/>
                  <w:sz w:val="18"/>
                  <w:u w:val="none"/>
                  <w:effect w:val="none"/>
                </w:rPr>
                <w:t>Unregistered Sales of Equity Securities and Use of Proceeds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301">
              <w:r>
                <w:rPr>
                  <w:rStyle w:val="InternetLink"/>
                  <w:rFonts w:ascii="Arial;sans-serif" w:hAnsi="Arial;sans-serif"/>
                  <w:b w:val="false"/>
                  <w:strike w:val="false"/>
                  <w:dstrike w:val="false"/>
                  <w:color w:val="000000"/>
                  <w:sz w:val="18"/>
                  <w:u w:val="none"/>
                  <w:effect w:val="none"/>
                </w:rPr>
                <w:t>26</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304">
              <w:r>
                <w:rPr>
                  <w:rStyle w:val="InternetLink"/>
                  <w:rFonts w:ascii="Arial;sans-serif" w:hAnsi="Arial;sans-serif"/>
                  <w:b w:val="false"/>
                  <w:strike w:val="false"/>
                  <w:dstrike w:val="false"/>
                  <w:color w:val="000000"/>
                  <w:sz w:val="18"/>
                  <w:u w:val="none"/>
                  <w:effect w:val="none"/>
                </w:rPr>
                <w:t>Defaults Upon Senior Securities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304">
              <w:r>
                <w:rPr>
                  <w:rStyle w:val="InternetLink"/>
                  <w:rFonts w:ascii="Arial;sans-serif" w:hAnsi="Arial;sans-serif"/>
                  <w:b w:val="false"/>
                  <w:strike w:val="false"/>
                  <w:dstrike w:val="false"/>
                  <w:color w:val="000000"/>
                  <w:sz w:val="18"/>
                  <w:u w:val="none"/>
                  <w:effect w:val="none"/>
                </w:rPr>
                <w:t>26</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307">
              <w:r>
                <w:rPr>
                  <w:rStyle w:val="InternetLink"/>
                  <w:rFonts w:ascii="Arial;sans-serif" w:hAnsi="Arial;sans-serif"/>
                  <w:b w:val="false"/>
                  <w:strike w:val="false"/>
                  <w:dstrike w:val="false"/>
                  <w:color w:val="000000"/>
                  <w:sz w:val="18"/>
                  <w:u w:val="none"/>
                  <w:effect w:val="none"/>
                </w:rPr>
                <w:t>Mine Safety Disclosures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307">
              <w:r>
                <w:rPr>
                  <w:rStyle w:val="InternetLink"/>
                  <w:rFonts w:ascii="Arial;sans-serif" w:hAnsi="Arial;sans-serif"/>
                  <w:b w:val="false"/>
                  <w:strike w:val="false"/>
                  <w:dstrike w:val="false"/>
                  <w:color w:val="000000"/>
                  <w:sz w:val="18"/>
                  <w:u w:val="none"/>
                  <w:effect w:val="none"/>
                </w:rPr>
                <w:t>26</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310">
              <w:r>
                <w:rPr>
                  <w:rStyle w:val="InternetLink"/>
                  <w:rFonts w:ascii="Arial;sans-serif" w:hAnsi="Arial;sans-serif"/>
                  <w:b w:val="false"/>
                  <w:strike w:val="false"/>
                  <w:dstrike w:val="false"/>
                  <w:color w:val="000000"/>
                  <w:sz w:val="18"/>
                  <w:u w:val="none"/>
                  <w:effect w:val="none"/>
                </w:rPr>
                <w:t>Other Information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310">
              <w:r>
                <w:rPr>
                  <w:rStyle w:val="InternetLink"/>
                  <w:rFonts w:ascii="Arial;sans-serif" w:hAnsi="Arial;sans-serif"/>
                  <w:b w:val="false"/>
                  <w:strike w:val="false"/>
                  <w:dstrike w:val="false"/>
                  <w:color w:val="000000"/>
                  <w:sz w:val="18"/>
                  <w:u w:val="none"/>
                  <w:effect w:val="none"/>
                </w:rPr>
                <w:t>26</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313">
              <w:r>
                <w:rPr>
                  <w:rStyle w:val="InternetLink"/>
                  <w:rFonts w:ascii="Arial;sans-serif" w:hAnsi="Arial;sans-serif"/>
                  <w:b w:val="false"/>
                  <w:strike w:val="false"/>
                  <w:dstrike w:val="false"/>
                  <w:color w:val="000000"/>
                  <w:sz w:val="18"/>
                  <w:u w:val="none"/>
                  <w:effect w:val="none"/>
                </w:rPr>
                <w:t>Exhibits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313">
              <w:r>
                <w:rPr>
                  <w:rStyle w:val="InternetLink"/>
                  <w:rFonts w:ascii="Arial;sans-serif" w:hAnsi="Arial;sans-serif"/>
                  <w:b w:val="false"/>
                  <w:strike w:val="false"/>
                  <w:dstrike w:val="false"/>
                  <w:color w:val="000000"/>
                  <w:sz w:val="18"/>
                  <w:u w:val="none"/>
                  <w:effect w:val="none"/>
                </w:rPr>
                <w:t>27</w:t>
              </w:r>
            </w:hyperlink>
          </w:p>
        </w:tc>
      </w:tr>
      <w:tr>
        <w:trPr/>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a052b58ef7440cd887c3c13373de70c_316">
              <w:r>
                <w:rPr>
                  <w:rStyle w:val="InternetLink"/>
                  <w:rFonts w:ascii="Arial;sans-serif" w:hAnsi="Arial;sans-serif"/>
                  <w:b/>
                  <w:strike w:val="false"/>
                  <w:dstrike w:val="false"/>
                  <w:color w:val="000000"/>
                  <w:sz w:val="18"/>
                  <w:u w:val="none"/>
                  <w:effect w:val="none"/>
                </w:rPr>
                <w:t>SIGNATURE PAGE</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a052b58ef7440cd887c3c13373de70c_316">
              <w:r>
                <w:rPr>
                  <w:rStyle w:val="InternetLink"/>
                  <w:rFonts w:ascii="Arial;sans-serif" w:hAnsi="Arial;sans-serif"/>
                  <w:b w:val="false"/>
                  <w:strike w:val="false"/>
                  <w:dstrike w:val="false"/>
                  <w:color w:val="000000"/>
                  <w:sz w:val="18"/>
                  <w:u w:val="none"/>
                  <w:effect w:val="none"/>
                </w:rPr>
                <w:t>28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4"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Arial;sans-serif" w:hAnsi="Arial;sans-serif"/>
          <w:b/>
          <w:color w:val="000000"/>
          <w:sz w:val="18"/>
        </w:rPr>
      </w:pPr>
      <w:r>
        <w:rPr>
          <w:rFonts w:ascii="Arial;sans-serif" w:hAnsi="Arial;sans-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data)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899"/>
        <w:gridCol w:w="2155"/>
        <w:gridCol w:w="2170"/>
        <w:gridCol w:w="226"/>
        <w:gridCol w:w="901"/>
        <w:gridCol w:w="116"/>
        <w:gridCol w:w="109"/>
        <w:gridCol w:w="109"/>
        <w:gridCol w:w="109"/>
        <w:gridCol w:w="246"/>
        <w:gridCol w:w="982"/>
        <w:gridCol w:w="183"/>
      </w:tblGrid>
      <w:tr>
        <w:trPr/>
        <w:tc>
          <w:tcPr>
            <w:tcW w:w="289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allowances of $1,093 and $1,199</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65,691 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related parties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191,956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194,000</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163,397 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126,048 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Trademarks, trade names and other intangibles,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25,440 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545,882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541,529</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Checks issued not presented for payment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Line of credit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55,799 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related parties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obligations under finance leases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obligations under operating leases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172,458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164,768</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 of current portion</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99,436 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Obligations under finance leases, non-current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Obligations under operating leases, non-current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341,195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337,943</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COMMITMENTS AND CONTINGENCIES (Note 15)</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SHAREHOLDERS’ EQUITY:</w:t>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Series A Participating Preferred Stock, par value $0.001; 100,000 shares authorized, no shares issued and outstanding</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$0.001 par value; 1,000,000 shares authorized; no shares issued and outstanding</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$0.0001 par value; 100,000,000 shares authorized; 55,196,255 and 55,041,255 shares issued and 53,198,832 and 53,043,832 shares outstanding as of March 31, 2026 and December 31, 2025, respectively </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1,997,423 shares as of March 31, 2026 and December 31, 2025</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606,243 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605,838 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(394,817)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(396,042)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 ATTRIBUTABLE TO HF FOODS GROUP INC.</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203,681</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202,051</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204,687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203,586</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SHAREHOLDERS’ EQUITY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545,882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541,529</w:t>
            </w:r>
            <w:r>
              <w:rPr>
                <w:color w:val="000000"/>
              </w:rPr>
              <w:t>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21030"/>
                <wp:effectExtent l="0" t="0" r="0" b="0"/>
                <wp:wrapNone/>
                <wp:docPr id="5" name="Frame4"/>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 and Comprehensive Income (Loss)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 share data)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99"/>
        <w:gridCol w:w="1757"/>
        <w:gridCol w:w="1770"/>
        <w:gridCol w:w="109"/>
        <w:gridCol w:w="109"/>
        <w:gridCol w:w="154"/>
        <w:gridCol w:w="154"/>
        <w:gridCol w:w="154"/>
        <w:gridCol w:w="154"/>
        <w:gridCol w:w="324"/>
        <w:gridCol w:w="1168"/>
        <w:gridCol w:w="154"/>
        <w:gridCol w:w="109"/>
        <w:gridCol w:w="109"/>
        <w:gridCol w:w="109"/>
        <w:gridCol w:w="223"/>
        <w:gridCol w:w="873"/>
        <w:gridCol w:w="109"/>
        <w:gridCol w:w="109"/>
        <w:gridCol w:w="158"/>
      </w:tblGrid>
      <w:tr>
        <w:trPr/>
        <w:tc>
          <w:tcPr>
            <w:tcW w:w="2399"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799" w:type="dxa"/>
            <w:gridSpan w:val="8"/>
            <w:tcBorders/>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 - third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 -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312,002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298,428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 third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261,476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247,469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50,526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50,959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 AND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 AND COMPREHENSIVE INCOME (LOSS) ATTRIBUTABLE TO HF FOODS GROUP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(LOSS)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(LOSS)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0.02</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SHARES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53,053,610</w:t>
            </w: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52,737,650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SHARES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53,933,051</w:t>
            </w: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52,737,650</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21030"/>
                <wp:effectExtent l="0" t="0" r="0" b="0"/>
                <wp:wrapNone/>
                <wp:docPr id="6" name="Frame5"/>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624"/>
        <w:gridCol w:w="2289"/>
        <w:gridCol w:w="2304"/>
        <w:gridCol w:w="235"/>
        <w:gridCol w:w="822"/>
        <w:gridCol w:w="121"/>
        <w:gridCol w:w="121"/>
        <w:gridCol w:w="121"/>
        <w:gridCol w:w="121"/>
        <w:gridCol w:w="235"/>
        <w:gridCol w:w="822"/>
        <w:gridCol w:w="121"/>
        <w:gridCol w:w="109"/>
        <w:gridCol w:w="160"/>
      </w:tblGrid>
      <w:tr>
        <w:trPr/>
        <w:tc>
          <w:tcPr>
            <w:tcW w:w="2624"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269" w:type="dxa"/>
            <w:gridSpan w:val="2"/>
            <w:tcBorders/>
          </w:tcPr>
          <w:p>
            <w:pPr>
              <w:pStyle w:val="TableContents"/>
              <w:bidi w:val="0"/>
              <w:spacing w:before="0" w:after="283"/>
              <w:jc w:val="left"/>
              <w:rPr>
                <w:sz w:val="4"/>
                <w:szCs w:val="4"/>
              </w:rPr>
            </w:pPr>
            <w:r>
              <w:rPr>
                <w:sz w:val="4"/>
                <w:szCs w:val="4"/>
              </w:rPr>
            </w:r>
          </w:p>
        </w:tc>
      </w:tr>
      <w:tr>
        <w:trPr/>
        <w:tc>
          <w:tcPr>
            <w:tcW w:w="7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1,356</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(1,530)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Adjustments to reconcile net income (loss) to net cash provided by operating activities:</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from disposal of property and equipment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Credit for expected credit losses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benefit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Non-cash lease expense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non-cash expense (income)</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Changes in operating assets and liabilities:</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(4,314)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 related parties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(8,265)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Checks issued not presented for payment </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 - related parties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15,288</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6,948</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(11,119)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(3,564)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line of credit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393,818 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315,008 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line of credit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(387,795)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(313,714)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issuance of debt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long-term debt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(5,389)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Payment of debt financing costs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obligations under finance leases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ATM sale</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Acquisition of noncontrolling interests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(1,749)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(1,752)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increase in cash</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2,420</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1,632</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at beginning of the period</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8,641</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14,467</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at end of the period</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11,061</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16,099</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Supplemental disclosure of cash flow data:</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paid (received) for income taxes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Supplemental disclosure of non-cash investing and financing activities:</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Right-of-use assets obtained in exchange for operating lease liabilities</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acquired in exchange for finance leases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21030"/>
                <wp:effectExtent l="0" t="0" r="0" b="0"/>
                <wp:wrapNone/>
                <wp:docPr id="7" name="Frame6"/>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Changes in Shareholders' Equity</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data)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3808" w:type="dxa"/>
        <w:jc w:val="center"/>
        <w:tblInd w:w="0" w:type="dxa"/>
        <w:tblLayout w:type="fixed"/>
        <w:tblCellMar>
          <w:top w:w="28" w:type="dxa"/>
          <w:left w:w="28" w:type="dxa"/>
          <w:bottom w:w="28" w:type="dxa"/>
          <w:right w:w="28" w:type="dxa"/>
        </w:tblCellMar>
      </w:tblPr>
      <w:tblGrid>
        <w:gridCol w:w="767"/>
        <w:gridCol w:w="239"/>
        <w:gridCol w:w="240"/>
        <w:gridCol w:w="488"/>
        <w:gridCol w:w="488"/>
        <w:gridCol w:w="216"/>
        <w:gridCol w:w="109"/>
        <w:gridCol w:w="109"/>
        <w:gridCol w:w="109"/>
        <w:gridCol w:w="262"/>
        <w:gridCol w:w="342"/>
        <w:gridCol w:w="147"/>
        <w:gridCol w:w="109"/>
        <w:gridCol w:w="109"/>
        <w:gridCol w:w="109"/>
        <w:gridCol w:w="443"/>
        <w:gridCol w:w="443"/>
        <w:gridCol w:w="216"/>
        <w:gridCol w:w="109"/>
        <w:gridCol w:w="109"/>
        <w:gridCol w:w="109"/>
        <w:gridCol w:w="196"/>
        <w:gridCol w:w="571"/>
        <w:gridCol w:w="109"/>
        <w:gridCol w:w="109"/>
        <w:gridCol w:w="109"/>
        <w:gridCol w:w="109"/>
        <w:gridCol w:w="196"/>
        <w:gridCol w:w="751"/>
        <w:gridCol w:w="109"/>
        <w:gridCol w:w="109"/>
        <w:gridCol w:w="109"/>
        <w:gridCol w:w="109"/>
        <w:gridCol w:w="214"/>
        <w:gridCol w:w="822"/>
        <w:gridCol w:w="120"/>
        <w:gridCol w:w="109"/>
        <w:gridCol w:w="109"/>
        <w:gridCol w:w="109"/>
        <w:gridCol w:w="222"/>
        <w:gridCol w:w="854"/>
        <w:gridCol w:w="125"/>
        <w:gridCol w:w="109"/>
        <w:gridCol w:w="109"/>
        <w:gridCol w:w="109"/>
        <w:gridCol w:w="305"/>
        <w:gridCol w:w="890"/>
        <w:gridCol w:w="171"/>
        <w:gridCol w:w="109"/>
        <w:gridCol w:w="109"/>
        <w:gridCol w:w="109"/>
        <w:gridCol w:w="221"/>
        <w:gridCol w:w="849"/>
        <w:gridCol w:w="176"/>
      </w:tblGrid>
      <w:tr>
        <w:trPr/>
        <w:tc>
          <w:tcPr>
            <w:tcW w:w="7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Shareholders’</w:t>
              <w:br/>
              <w:t>Equity Attributable to</w:t>
              <w:br/>
              <w:t>HF Foods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Shareholders’</w:t>
              <w:br/>
              <w:t>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pPr>
            <w:r>
              <w:rPr>
                <w:rFonts w:ascii="Arial;sans-serif" w:hAnsi="Arial;sans-serif"/>
                <w:b/>
                <w:sz w:val="16"/>
              </w:rPr>
              <w:br/>
            </w: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January 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54,735,073</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1,997,423</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604,235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(357,199)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239,291</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2,003</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241,294</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March 31, 2025</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54,735,073</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1,997,423</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604,609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(358,844)</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238,020</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2,118</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240,138</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January 1, 2026</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55,041,255</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1,997,423</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605,838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(396,042)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202,051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1,535</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203,586</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at-the-market equity offering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Acquisition of Non-Controlling Interest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March 31,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55,196,255</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1,997,423</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(7,750)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606,243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(394,817)</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203,681</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1,006</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204,687</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21030"/>
                <wp:effectExtent l="0" t="0" r="0" b="0"/>
                <wp:wrapNone/>
                <wp:docPr id="8" name="Frame7"/>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1 - Organization and Description of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Organization and General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HF Foods Group Inc., headquartered in Las Vegas, Nevada, operating through our subsidiaries (collectively “HF Foods” or the “Company”) is a marketer and distributor of fresh produce, frozen and dry food, and non-food products to Asian restaurants, as well as other foodservice customers, throughout the United States. With multiple distribution centers located throughout the nation, HF Foods supplies Asian cuisine through its relationships with growers and suppliers of food products in North America, South America and Asia. The Company’s business consists of one operating segment, which is also its one reportable segment: HF Foods, which operates solely in the United States, offers specialty restaurant foods and supplies to its customers.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Basis of Presentation and Principles of Consolidation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accompanying unaudited condensed consolidated financial statements have been prepared in accordance with generally accepted accounting principles in the United States of America (“GAAP”) and applicable rules and regulations of the U.S. Securities and Exchange Commission (“SEC”), regarding interim financial reporting. All adjustments (consisting of normal recurring accruals) considered necessary for a fair presentation have been included.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condensed consolidated financial statements and related financial information should be read in conjunction with the audited consolidated financial statements and the related notes thereto that are included in our Annual Report on Form 10-K for the year ended December 31, 2025 filed with the SEC on March 16, 2026 (our “2025 Annual Report”). There have been no material changes to our significant accounting policies as compared to the significant accounting policies described in our 2025 Annual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significant intercompany balances and transactions have been eliminated in consolidation. For consolidated entities where we own or are exposed to less than 100% of the economics, the Company records net income (loss) attributable to noncontrolling interests in its condensed consolidated statements of operations and comprehensive income (loss) equal to the percentage of the economic or ownership interest retained in such entity by the respective noncontrolling party.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Noncontrolling Interests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GAAP requires that noncontrolling interests in subsidiaries and affiliates be reported in the equity section of the Company’s condensed consolidated balance sheets. In addition, the amounts attributable to the net income (loss) of those noncontrolling interests are reported separately in the condensed consolidated statements of operations and comprehensive income (loss).</w:t>
      </w:r>
    </w:p>
    <w:p>
      <w:pPr>
        <w:pStyle w:val="TextBody"/>
        <w:bidi w:val="0"/>
        <w:spacing w:before="0" w:after="0"/>
        <w:jc w:val="both"/>
        <w:rPr/>
      </w:pPr>
      <w:r>
        <w:rPr/>
      </w:r>
    </w:p>
    <w:p>
      <w:pPr>
        <w:pStyle w:val="TextBody"/>
        <w:bidi w:val="0"/>
        <w:spacing w:lineRule="auto" w:line="288" w:before="0" w:after="60"/>
        <w:jc w:val="both"/>
        <w:rPr/>
      </w:pPr>
      <w:r>
        <w:rPr>
          <w:rFonts w:ascii="Arial;sans-serif" w:hAnsi="Arial;sans-serif"/>
          <w:b w:val="false"/>
          <w:color w:val="000000"/>
          <w:sz w:val="18"/>
        </w:rPr>
        <w:t xml:space="preserve">On March 1, 2026, the Company acquired a 18.99% ownership interest in its consolidated subsidiary, Min Food, Inc. (“Min Food”), from two investors for total consideration of approximately $0.8 million. Following the completion of this transaction, the Company’s ownership interest in Min Food increased from 60.25% to 79.24%, and the noncontrolling interest decreased from 39.75% to 20.76%. Because the Company maintained a controlling financial interest in Min Food both before and after the transaction, this acquisition was accounted for as an equity transaction in accordance with ASC 810, </w:t>
      </w:r>
      <w:r>
        <w:rPr>
          <w:rFonts w:ascii="Arial;sans-serif" w:hAnsi="Arial;sans-serif"/>
          <w:b w:val="false"/>
          <w:i/>
          <w:color w:val="000000"/>
          <w:sz w:val="18"/>
        </w:rPr>
        <w:t>Consolidation</w:t>
      </w:r>
      <w:r>
        <w:rPr>
          <w:rFonts w:ascii="Arial;sans-serif" w:hAnsi="Arial;sans-serif"/>
          <w:b w:val="false"/>
          <w:color w:val="000000"/>
          <w:sz w:val="18"/>
        </w:rPr>
        <w:t xml:space="preserve">. No gain or loss was recognized in the condensed consolidated statements of operations and comprehensive income (loss). </w: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As of March 31, 2026 and December 31, 2025, noncontrolling interest equity consisted of the following:</w:t>
      </w:r>
    </w:p>
    <w:tbl>
      <w:tblPr>
        <w:tblW w:w="10205" w:type="dxa"/>
        <w:jc w:val="left"/>
        <w:tblInd w:w="0" w:type="dxa"/>
        <w:tblLayout w:type="fixed"/>
        <w:tblCellMar>
          <w:top w:w="28" w:type="dxa"/>
          <w:left w:w="28" w:type="dxa"/>
          <w:bottom w:w="28" w:type="dxa"/>
          <w:right w:w="28" w:type="dxa"/>
        </w:tblCellMar>
      </w:tblPr>
      <w:tblGrid>
        <w:gridCol w:w="880"/>
        <w:gridCol w:w="776"/>
        <w:gridCol w:w="778"/>
        <w:gridCol w:w="109"/>
        <w:gridCol w:w="109"/>
        <w:gridCol w:w="109"/>
        <w:gridCol w:w="1189"/>
        <w:gridCol w:w="1189"/>
        <w:gridCol w:w="1192"/>
        <w:gridCol w:w="109"/>
        <w:gridCol w:w="109"/>
        <w:gridCol w:w="109"/>
        <w:gridCol w:w="317"/>
        <w:gridCol w:w="926"/>
        <w:gridCol w:w="163"/>
        <w:gridCol w:w="109"/>
        <w:gridCol w:w="109"/>
        <w:gridCol w:w="109"/>
        <w:gridCol w:w="389"/>
        <w:gridCol w:w="1135"/>
        <w:gridCol w:w="290"/>
      </w:tblGrid>
      <w:tr>
        <w:trPr/>
        <w:tc>
          <w:tcPr>
            <w:tcW w:w="88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Ownership of</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noncontrolling interest 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Min 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Monterey Food Service,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1,535 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Uses of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each reporting period. Actual results could differ from those estimates. Significant accounting estimates reflected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Company’s consolidated financial statements include, but are not limited to, inventory reserves, impairment of long-lived assets, and impairment of goodwill.</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November 2024, the FASB issued ASU 2024-03, Income Statement—Reporting Comprehensive Income—Expense Disaggregation Disclosures (Subtopic 220-40): Disaggregation of Income Statement Expenses. The guidance requires additional disclosure of certain amounts included in the expense captions presented on the Statement of Operations as well as disclosures about selling expenses. This guidance is effective on a prospective basis, with the option for retrospective application, for annual periods beginning after December 15, 2026 and interim reporting periods beginning after December 15, 2027. The Company is in the process of assessing the impact the adoption of this guidance will have on the Company’s financial statement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September 2025, the FASB issued ASU 2025-06, Targeted Improvements to the Accounting for Internal-Use Software. This standard is intended to improve the operability and application of guidance related to capitalized software development costs. The guidance becomes effective on a prospective basis, with the option for modified prospective or retrospective application, for all entities for annual reporting periods beginning after December 15, 2027 and interim periods in those annual periods. The Company is in the process of assessing the impact the adoption of this guidance will have on the Company’s financial statement disclosures.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December 2025, the FASB issued ASU 2025-11, Interim Reporting (Topic 270). This new standard clarifies interim reporting guidance, develops a list of disclosures required by other Topics and intends to enhance consistency in interim reporting across entities. The standard allows for early adoption and becomes effective for fiscal years beginning after December 15, 2027, and interim periods within those annual periods. The Company is in the process of assessing the impact the adoption of this guidance will have on the Company’s interim financial statement disclosures.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December 2025, the FASB issued ASU 2025-12, Codification Improvements. This update addresses a broad range of topics including technical corrections, unintended applications of the codifications, clarifications of certain items, and other minor improvements. The ASU is effective for annual and interim reporting periods beginning after December 15, 2026. The Company is in the process of assessing the impact the adoption of this guidance will have on the Company’s financial statement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Recently Adopted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July 2025, the FASB issued ASU 2025-05, Measurement of Credit Losses for Accounts Receivable and Contract Assets. This standard amends ASC 326-20 to provide a practical expedient related to the estimation of expected credit losses for current accounts receivable and current contract assets that arise from transactions accounted for under ASC 606. The Company adopted this guidance prospectively effective January 1, 2026 and elected the practical expedient provided thereunder. The adoption did not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3 - Revenue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presents the Company’s net revenue disaggregated by principal product categories:</w:t>
      </w:r>
    </w:p>
    <w:p>
      <w:pPr>
        <w:pStyle w:val="TextBody"/>
        <w:bidi w:val="0"/>
        <w:spacing w:before="0" w:after="0"/>
        <w:jc w:val="left"/>
        <w:rPr/>
      </w:pPr>
      <w:r>
        <w:rPr/>
      </w:r>
    </w:p>
    <w:p>
      <w:pPr>
        <w:pStyle w:val="TextBody"/>
        <w:bidi w:val="0"/>
        <w:spacing w:before="0" w:after="0"/>
        <w:jc w:val="left"/>
        <w:rPr/>
      </w:pPr>
      <w:r>
        <w:rPr/>
      </w:r>
    </w:p>
    <w:tbl>
      <w:tblPr>
        <w:tblW w:w="8271" w:type="dxa"/>
        <w:jc w:val="left"/>
        <w:tblInd w:w="0" w:type="dxa"/>
        <w:tblLayout w:type="fixed"/>
        <w:tblCellMar>
          <w:top w:w="28" w:type="dxa"/>
          <w:left w:w="28" w:type="dxa"/>
          <w:bottom w:w="28" w:type="dxa"/>
          <w:right w:w="28" w:type="dxa"/>
        </w:tblCellMar>
      </w:tblPr>
      <w:tblGrid>
        <w:gridCol w:w="667"/>
        <w:gridCol w:w="588"/>
        <w:gridCol w:w="589"/>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109"/>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Seafood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Meat and Poultry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Asian Specialty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Produce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Packaging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4 - Balance Sheet Components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receivable, net consisted of the following:</w:t>
      </w:r>
    </w:p>
    <w:p>
      <w:pPr>
        <w:pStyle w:val="TextBody"/>
        <w:bidi w:val="0"/>
        <w:spacing w:before="0" w:after="0"/>
        <w:jc w:val="left"/>
        <w:rPr/>
      </w:pPr>
      <w:r>
        <w:rPr/>
      </w:r>
    </w:p>
    <w:tbl>
      <w:tblPr>
        <w:tblW w:w="7105" w:type="dxa"/>
        <w:jc w:val="left"/>
        <w:tblInd w:w="0" w:type="dxa"/>
        <w:tblLayout w:type="fixed"/>
        <w:tblCellMar>
          <w:top w:w="28" w:type="dxa"/>
          <w:left w:w="28" w:type="dxa"/>
          <w:bottom w:w="28" w:type="dxa"/>
          <w:right w:w="28" w:type="dxa"/>
        </w:tblCellMar>
      </w:tblPr>
      <w:tblGrid>
        <w:gridCol w:w="1285"/>
        <w:gridCol w:w="1133"/>
        <w:gridCol w:w="1137"/>
        <w:gridCol w:w="285"/>
        <w:gridCol w:w="977"/>
        <w:gridCol w:w="147"/>
        <w:gridCol w:w="109"/>
        <w:gridCol w:w="109"/>
        <w:gridCol w:w="109"/>
        <w:gridCol w:w="352"/>
        <w:gridCol w:w="1205"/>
        <w:gridCol w:w="257"/>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68,093 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66,890 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allowance for expected credit losses</w:t>
            </w:r>
          </w:p>
        </w:tc>
        <w:tc>
          <w:tcPr>
            <w:tcW w:w="12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(1,093)</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(1,199)</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67,000 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65,691 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beginning balance of accounts receivable as of January 1, 2025 was $55.7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Movement of allowance for expected credit losses was as follows:</w:t>
      </w:r>
    </w:p>
    <w:p>
      <w:pPr>
        <w:pStyle w:val="TextBody"/>
        <w:bidi w:val="0"/>
        <w:spacing w:before="0" w:after="0"/>
        <w:jc w:val="left"/>
        <w:rPr/>
      </w:pPr>
      <w:r>
        <w:rPr/>
      </w:r>
    </w:p>
    <w:tbl>
      <w:tblPr>
        <w:tblW w:w="5954" w:type="dxa"/>
        <w:jc w:val="left"/>
        <w:tblInd w:w="0" w:type="dxa"/>
        <w:tblLayout w:type="fixed"/>
        <w:tblCellMar>
          <w:top w:w="28" w:type="dxa"/>
          <w:left w:w="28" w:type="dxa"/>
          <w:bottom w:w="28" w:type="dxa"/>
          <w:right w:w="28" w:type="dxa"/>
        </w:tblCellMar>
      </w:tblPr>
      <w:tblGrid>
        <w:gridCol w:w="987"/>
        <w:gridCol w:w="870"/>
        <w:gridCol w:w="872"/>
        <w:gridCol w:w="263"/>
        <w:gridCol w:w="769"/>
        <w:gridCol w:w="136"/>
        <w:gridCol w:w="136"/>
        <w:gridCol w:w="136"/>
        <w:gridCol w:w="136"/>
        <w:gridCol w:w="263"/>
        <w:gridCol w:w="769"/>
        <w:gridCol w:w="136"/>
        <w:gridCol w:w="109"/>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481" w:type="dxa"/>
            <w:gridSpan w:val="4"/>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Credit for expected credit losses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Bad debt write-offs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2,174 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Prepaid expenses and other current assets consisted of the following:</w:t>
      </w:r>
    </w:p>
    <w:p>
      <w:pPr>
        <w:pStyle w:val="TextBody"/>
        <w:bidi w:val="0"/>
        <w:spacing w:before="0" w:after="0"/>
        <w:jc w:val="left"/>
        <w:rPr/>
      </w:pPr>
      <w:r>
        <w:rPr/>
      </w:r>
    </w:p>
    <w:tbl>
      <w:tblPr>
        <w:tblW w:w="7166" w:type="dxa"/>
        <w:jc w:val="left"/>
        <w:tblInd w:w="0" w:type="dxa"/>
        <w:tblLayout w:type="fixed"/>
        <w:tblCellMar>
          <w:top w:w="28" w:type="dxa"/>
          <w:left w:w="28" w:type="dxa"/>
          <w:bottom w:w="28" w:type="dxa"/>
          <w:right w:w="28" w:type="dxa"/>
        </w:tblCellMar>
      </w:tblPr>
      <w:tblGrid>
        <w:gridCol w:w="1307"/>
        <w:gridCol w:w="1152"/>
        <w:gridCol w:w="1156"/>
        <w:gridCol w:w="318"/>
        <w:gridCol w:w="928"/>
        <w:gridCol w:w="164"/>
        <w:gridCol w:w="109"/>
        <w:gridCol w:w="109"/>
        <w:gridCol w:w="109"/>
        <w:gridCol w:w="390"/>
        <w:gridCol w:w="1138"/>
        <w:gridCol w:w="286"/>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Advances to suppliers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6,096 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9,725 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Assets held for sale consisted of the following:</w:t>
      </w:r>
    </w:p>
    <w:p>
      <w:pPr>
        <w:pStyle w:val="TextBody"/>
        <w:bidi w:val="0"/>
        <w:spacing w:before="0" w:after="0"/>
        <w:jc w:val="both"/>
        <w:rPr/>
      </w:pPr>
      <w:r>
        <w:rPr/>
      </w:r>
    </w:p>
    <w:tbl>
      <w:tblPr>
        <w:tblW w:w="5261" w:type="dxa"/>
        <w:jc w:val="left"/>
        <w:tblInd w:w="0" w:type="dxa"/>
        <w:tblLayout w:type="fixed"/>
        <w:tblCellMar>
          <w:top w:w="28" w:type="dxa"/>
          <w:left w:w="28" w:type="dxa"/>
          <w:bottom w:w="28" w:type="dxa"/>
          <w:right w:w="28" w:type="dxa"/>
        </w:tblCellMar>
      </w:tblPr>
      <w:tblGrid>
        <w:gridCol w:w="618"/>
        <w:gridCol w:w="545"/>
        <w:gridCol w:w="546"/>
        <w:gridCol w:w="410"/>
        <w:gridCol w:w="789"/>
        <w:gridCol w:w="211"/>
        <w:gridCol w:w="109"/>
        <w:gridCol w:w="109"/>
        <w:gridCol w:w="109"/>
        <w:gridCol w:w="378"/>
        <w:gridCol w:w="1159"/>
        <w:gridCol w:w="278"/>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2,768 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2025, the Company approved a plan to sell land and a building it owned in Utah. The Company engaged a firm to market the location for sale and solicited multiple offers on the property. On October 17, 2025, the Company executed a sale agreement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assets and subsequently determined that the assets met the accounting requirements to be classified as held for sale as of December 31, 2025. The Company closed on the sale of the land and building on February 12, 2026. The gain of $1.4 million realized on the sale was recognized in other income, net on our condensed consolidated statements of operations and comprehensive income (loss) during the quarter ended March 31,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Property and equipment, net consisted of the following:</w:t>
      </w:r>
    </w:p>
    <w:p>
      <w:pPr>
        <w:pStyle w:val="TextBody"/>
        <w:bidi w:val="0"/>
        <w:spacing w:before="0" w:after="0"/>
        <w:jc w:val="both"/>
        <w:rPr/>
      </w:pPr>
      <w:r>
        <w:rPr/>
      </w:r>
    </w:p>
    <w:tbl>
      <w:tblPr>
        <w:tblW w:w="6266" w:type="dxa"/>
        <w:jc w:val="left"/>
        <w:tblInd w:w="0" w:type="dxa"/>
        <w:tblLayout w:type="fixed"/>
        <w:tblCellMar>
          <w:top w:w="28" w:type="dxa"/>
          <w:left w:w="28" w:type="dxa"/>
          <w:bottom w:w="28" w:type="dxa"/>
          <w:right w:w="28" w:type="dxa"/>
        </w:tblCellMar>
      </w:tblPr>
      <w:tblGrid>
        <w:gridCol w:w="981"/>
        <w:gridCol w:w="865"/>
        <w:gridCol w:w="869"/>
        <w:gridCol w:w="259"/>
        <w:gridCol w:w="1017"/>
        <w:gridCol w:w="134"/>
        <w:gridCol w:w="109"/>
        <w:gridCol w:w="109"/>
        <w:gridCol w:w="109"/>
        <w:gridCol w:w="321"/>
        <w:gridCol w:w="1259"/>
        <w:gridCol w:w="234"/>
      </w:tblGrid>
      <w:tr>
        <w:trPr/>
        <w:tc>
          <w:tcPr>
            <w:tcW w:w="98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Automobiles </w:t>
            </w:r>
            <w:r>
              <w:rPr>
                <w:rFonts w:ascii="Arial;sans-serif" w:hAnsi="Arial;sans-serif"/>
                <w:b w:val="false"/>
                <w:color w:val="000000"/>
                <w:sz w:val="12"/>
              </w:rPr>
              <w:t>(1)</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64,994 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65,202 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64,758 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60,648 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Building improvements </w:t>
            </w:r>
            <w:r>
              <w:rPr>
                <w:rFonts w:ascii="Arial;sans-serif" w:hAnsi="Arial;sans-serif"/>
                <w:b w:val="false"/>
                <w:color w:val="000000"/>
                <w:sz w:val="12"/>
              </w:rPr>
              <w:t>(1)</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41,116 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41,182 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Furniture and fixtures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57,720 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49,180 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Machinery and equipment </w:t>
            </w:r>
            <w:r>
              <w:rPr>
                <w:rFonts w:ascii="Arial;sans-serif" w:hAnsi="Arial;sans-serif"/>
                <w:b w:val="false"/>
                <w:color w:val="000000"/>
                <w:sz w:val="12"/>
              </w:rPr>
              <w:t>(1)</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248,181 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233,694 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(71,677)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(70,297)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176,504 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163,397 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    The cost and accumulated depreciation of property and equipment related to finance leases was $50.5 million and $22.4 million, respectively, at March 31, 2026 and $50.0 million and $21.1 million, respectively, at December 31, 2025. The total future minimum lease payments under all finance leases as of March 31, 2026 is $42.9 million.</w:t>
      </w:r>
    </w:p>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Depreciation expense was $3.6 million and $2.9 million for the three months ended March 31, 2026 and 2025,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Long-term investments consisted of the following:</w:t>
      </w:r>
    </w:p>
    <w:p>
      <w:pPr>
        <w:pStyle w:val="TextBody"/>
        <w:bidi w:val="0"/>
        <w:spacing w:before="0" w:after="0"/>
        <w:jc w:val="both"/>
        <w:rPr/>
      </w:pPr>
      <w:r>
        <w:rPr/>
      </w:r>
    </w:p>
    <w:tbl>
      <w:tblPr>
        <w:tblW w:w="10086" w:type="dxa"/>
        <w:jc w:val="left"/>
        <w:tblInd w:w="0" w:type="dxa"/>
        <w:tblLayout w:type="fixed"/>
        <w:tblCellMar>
          <w:top w:w="28" w:type="dxa"/>
          <w:left w:w="28" w:type="dxa"/>
          <w:bottom w:w="28" w:type="dxa"/>
          <w:right w:w="28" w:type="dxa"/>
        </w:tblCellMar>
      </w:tblPr>
      <w:tblGrid>
        <w:gridCol w:w="1388"/>
        <w:gridCol w:w="1224"/>
        <w:gridCol w:w="1227"/>
        <w:gridCol w:w="789"/>
        <w:gridCol w:w="789"/>
        <w:gridCol w:w="791"/>
        <w:gridCol w:w="109"/>
        <w:gridCol w:w="109"/>
        <w:gridCol w:w="109"/>
        <w:gridCol w:w="318"/>
        <w:gridCol w:w="928"/>
        <w:gridCol w:w="164"/>
        <w:gridCol w:w="109"/>
        <w:gridCol w:w="109"/>
        <w:gridCol w:w="109"/>
        <w:gridCol w:w="390"/>
        <w:gridCol w:w="1138"/>
        <w:gridCol w:w="286"/>
      </w:tblGrid>
      <w:tr>
        <w:trPr/>
        <w:tc>
          <w:tcPr>
            <w:tcW w:w="138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Ownership as of 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Asahi Food, Inc. (“Asahi”)</w:t>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Tamron Akuatik Produk Industri (“Tamron”)</w:t>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investments</w:t>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investment in Tamron is accounted for using the measurement alternative under Accounting Standards Codification (“ASC”) Topic 321 </w:t>
      </w:r>
      <w:r>
        <w:rPr>
          <w:rFonts w:ascii="Arial;sans-serif" w:hAnsi="Arial;sans-serif"/>
          <w:b w:val="false"/>
          <w:i/>
          <w:color w:val="000000"/>
          <w:sz w:val="18"/>
        </w:rPr>
        <w:t>Investments—Equity Securities</w:t>
      </w:r>
      <w:r>
        <w:rPr>
          <w:rFonts w:ascii="Arial;sans-serif" w:hAnsi="Arial;sans-serif"/>
          <w:b w:val="false"/>
          <w:color w:val="000000"/>
          <w:sz w:val="18"/>
        </w:rPr>
        <w:t>, which is measured at cost, less any impairment, plus or minus changes resulting from observable price changes in orderly transactions for identical or similar investments, if any. The investment in Asahi is accounted for under the equity method due to the fact that the Company has significant influence but does not exercise control over this investee. The Company determined there was no impairment for the three months ended March 31, 2026 and 2025 for these investments.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Accrued expenses and other liabilities consisted of the following:</w:t>
      </w:r>
    </w:p>
    <w:p>
      <w:pPr>
        <w:pStyle w:val="TextBody"/>
        <w:bidi w:val="0"/>
        <w:spacing w:before="0" w:after="0"/>
        <w:jc w:val="left"/>
        <w:rPr/>
      </w:pPr>
      <w:r>
        <w:rPr/>
      </w:r>
    </w:p>
    <w:tbl>
      <w:tblPr>
        <w:tblW w:w="7536" w:type="dxa"/>
        <w:jc w:val="left"/>
        <w:tblInd w:w="0" w:type="dxa"/>
        <w:tblLayout w:type="fixed"/>
        <w:tblCellMar>
          <w:top w:w="28" w:type="dxa"/>
          <w:left w:w="28" w:type="dxa"/>
          <w:bottom w:w="28" w:type="dxa"/>
          <w:right w:w="28" w:type="dxa"/>
        </w:tblCellMar>
      </w:tblPr>
      <w:tblGrid>
        <w:gridCol w:w="1323"/>
        <w:gridCol w:w="1167"/>
        <w:gridCol w:w="1169"/>
        <w:gridCol w:w="109"/>
        <w:gridCol w:w="109"/>
        <w:gridCol w:w="109"/>
        <w:gridCol w:w="285"/>
        <w:gridCol w:w="977"/>
        <w:gridCol w:w="147"/>
        <w:gridCol w:w="109"/>
        <w:gridCol w:w="109"/>
        <w:gridCol w:w="109"/>
        <w:gridCol w:w="352"/>
        <w:gridCol w:w="1205"/>
        <w:gridCol w:w="257"/>
      </w:tblGrid>
      <w:tr>
        <w:trPr/>
        <w:tc>
          <w:tcPr>
            <w:tcW w:w="132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Self-insurance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Advance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14,994 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5 - 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the Company’s hierarchy for its assets and liabilities measured at fair value on a recurring basis as of the dates indicated:</w:t>
      </w:r>
    </w:p>
    <w:p>
      <w:pPr>
        <w:pStyle w:val="TextBody"/>
        <w:bidi w:val="0"/>
        <w:spacing w:before="0" w:after="0"/>
        <w:jc w:val="left"/>
        <w:rPr/>
      </w:pPr>
      <w:r>
        <w:rPr/>
      </w:r>
    </w:p>
    <w:tbl>
      <w:tblPr>
        <w:tblW w:w="10243" w:type="dxa"/>
        <w:jc w:val="left"/>
        <w:tblInd w:w="0" w:type="dxa"/>
        <w:tblLayout w:type="fixed"/>
        <w:tblCellMar>
          <w:top w:w="28" w:type="dxa"/>
          <w:left w:w="28" w:type="dxa"/>
          <w:bottom w:w="28" w:type="dxa"/>
          <w:right w:w="28" w:type="dxa"/>
        </w:tblCellMar>
      </w:tblPr>
      <w:tblGrid>
        <w:gridCol w:w="437"/>
        <w:gridCol w:w="253"/>
        <w:gridCol w:w="241"/>
        <w:gridCol w:w="211"/>
        <w:gridCol w:w="406"/>
        <w:gridCol w:w="109"/>
        <w:gridCol w:w="109"/>
        <w:gridCol w:w="109"/>
        <w:gridCol w:w="109"/>
        <w:gridCol w:w="221"/>
        <w:gridCol w:w="505"/>
        <w:gridCol w:w="115"/>
        <w:gridCol w:w="109"/>
        <w:gridCol w:w="109"/>
        <w:gridCol w:w="109"/>
        <w:gridCol w:w="283"/>
        <w:gridCol w:w="545"/>
        <w:gridCol w:w="148"/>
        <w:gridCol w:w="109"/>
        <w:gridCol w:w="109"/>
        <w:gridCol w:w="109"/>
        <w:gridCol w:w="211"/>
        <w:gridCol w:w="481"/>
        <w:gridCol w:w="109"/>
        <w:gridCol w:w="109"/>
        <w:gridCol w:w="109"/>
        <w:gridCol w:w="109"/>
        <w:gridCol w:w="211"/>
        <w:gridCol w:w="406"/>
        <w:gridCol w:w="109"/>
        <w:gridCol w:w="109"/>
        <w:gridCol w:w="109"/>
        <w:gridCol w:w="109"/>
        <w:gridCol w:w="211"/>
        <w:gridCol w:w="646"/>
        <w:gridCol w:w="109"/>
        <w:gridCol w:w="109"/>
        <w:gridCol w:w="109"/>
        <w:gridCol w:w="109"/>
        <w:gridCol w:w="283"/>
        <w:gridCol w:w="545"/>
        <w:gridCol w:w="148"/>
        <w:gridCol w:w="109"/>
        <w:gridCol w:w="109"/>
        <w:gridCol w:w="109"/>
        <w:gridCol w:w="211"/>
        <w:gridCol w:w="646"/>
        <w:gridCol w:w="154"/>
      </w:tblGrid>
      <w:tr>
        <w:trPr/>
        <w:tc>
          <w:tcPr>
            <w:tcW w:w="4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 follows the provisions of ASC Topic 820 </w:t>
      </w:r>
      <w:r>
        <w:rPr>
          <w:rFonts w:ascii="Arial;sans-serif" w:hAnsi="Arial;sans-serif"/>
          <w:b w:val="false"/>
          <w:i/>
          <w:color w:val="000000"/>
          <w:sz w:val="18"/>
        </w:rPr>
        <w:t>Fair Value Measurement</w:t>
      </w:r>
      <w:r>
        <w:rPr>
          <w:color w:val="000000"/>
        </w:rPr>
        <w:t xml:space="preserve"> </w:t>
      </w:r>
      <w:r>
        <w:rPr>
          <w:rFonts w:ascii="Arial;sans-serif" w:hAnsi="Arial;sans-serif"/>
          <w:b w:val="false"/>
          <w:color w:val="000000"/>
          <w:sz w:val="18"/>
        </w:rPr>
        <w:t>which clarifies the definition of fair value, prescribes methods for measuring fair value, and establishes a fair value hierarchy to classify the inputs used in measuring fair value as follows: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18"/>
        </w:rPr>
        <w:t>Level 1 - Inputs are unadjusted quoted prices in active markets for identical assets or liabilities available at the measurement date.</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18"/>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18"/>
        </w:rPr>
        <w:t>Level 3 - Inputs are unobservable inputs which reflect the reporting entity’s own assumptions about what assumptions market participants would use in pricing the asset or liability based on the best available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carrying amounts reported in the consolidated balance sheets for cash, accounts receivable, other current assets, accounts payable, checks issued not presented for payment and accrued expenses and other liabilities approximate their fair value based on the short-term maturity of these instruments.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See </w:t>
      </w:r>
      <w:r>
        <w:rPr>
          <w:rFonts w:ascii="Arial;sans-serif" w:hAnsi="Arial;sans-serif"/>
          <w:b w:val="false"/>
          <w:i/>
          <w:color w:val="000000"/>
          <w:sz w:val="18"/>
        </w:rPr>
        <w:t>Note 7 - Derivative Financial Instruments</w:t>
      </w:r>
      <w:r>
        <w:rPr>
          <w:color w:val="000000"/>
        </w:rPr>
        <w:t xml:space="preserve"> </w:t>
      </w:r>
      <w:r>
        <w:rPr>
          <w:rFonts w:ascii="Arial;sans-serif" w:hAnsi="Arial;sans-serif"/>
          <w:b w:val="false"/>
          <w:color w:val="000000"/>
          <w:sz w:val="18"/>
        </w:rPr>
        <w:t xml:space="preserve">for additional information regarding the Company’s interest rate swaps.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18"/>
        </w:rPr>
        <w:t>Carrying Value and Estimated Fair Value of Outstanding Debt</w:t>
      </w:r>
      <w:r>
        <w:rPr>
          <w:color w:val="000000"/>
        </w:rPr>
        <w:t xml:space="preserve"> </w:t>
      </w:r>
      <w:r>
        <w:rPr>
          <w:rFonts w:ascii="Arial;sans-serif" w:hAnsi="Arial;sans-serif"/>
          <w:b w:val="false"/>
          <w:color w:val="000000"/>
          <w:sz w:val="18"/>
        </w:rPr>
        <w:t xml:space="preserve">- The following table presents the carrying value and estimated fair value of the Company’s outstanding debt as described in </w:t>
      </w:r>
      <w:r>
        <w:rPr>
          <w:rFonts w:ascii="Arial;sans-serif" w:hAnsi="Arial;sans-serif"/>
          <w:b w:val="false"/>
          <w:i/>
          <w:color w:val="000000"/>
          <w:sz w:val="18"/>
        </w:rPr>
        <w:t>Note 8 - Long-Term Debt</w:t>
      </w:r>
      <w:r>
        <w:rPr>
          <w:rFonts w:ascii="Arial;sans-serif" w:hAnsi="Arial;sans-serif"/>
          <w:b w:val="false"/>
          <w:color w:val="000000"/>
          <w:sz w:val="18"/>
        </w:rPr>
        <w:t>, including the current portion, as of the dates indicated:</w:t>
      </w:r>
    </w:p>
    <w:p>
      <w:pPr>
        <w:pStyle w:val="TextBody"/>
        <w:bidi w:val="0"/>
        <w:spacing w:before="0" w:after="0"/>
        <w:jc w:val="both"/>
        <w:rPr/>
      </w:pPr>
      <w:r>
        <w:rPr/>
      </w:r>
    </w:p>
    <w:tbl>
      <w:tblPr>
        <w:tblW w:w="7553" w:type="dxa"/>
        <w:jc w:val="left"/>
        <w:tblInd w:w="0" w:type="dxa"/>
        <w:tblLayout w:type="fixed"/>
        <w:tblCellMar>
          <w:top w:w="28" w:type="dxa"/>
          <w:left w:w="28" w:type="dxa"/>
          <w:bottom w:w="28" w:type="dxa"/>
          <w:right w:w="28" w:type="dxa"/>
        </w:tblCellMar>
      </w:tblPr>
      <w:tblGrid>
        <w:gridCol w:w="802"/>
        <w:gridCol w:w="708"/>
        <w:gridCol w:w="709"/>
        <w:gridCol w:w="109"/>
        <w:gridCol w:w="109"/>
        <w:gridCol w:w="109"/>
        <w:gridCol w:w="211"/>
        <w:gridCol w:w="406"/>
        <w:gridCol w:w="109"/>
        <w:gridCol w:w="109"/>
        <w:gridCol w:w="109"/>
        <w:gridCol w:w="109"/>
        <w:gridCol w:w="211"/>
        <w:gridCol w:w="721"/>
        <w:gridCol w:w="109"/>
        <w:gridCol w:w="109"/>
        <w:gridCol w:w="109"/>
        <w:gridCol w:w="109"/>
        <w:gridCol w:w="211"/>
        <w:gridCol w:w="406"/>
        <w:gridCol w:w="109"/>
        <w:gridCol w:w="109"/>
        <w:gridCol w:w="109"/>
        <w:gridCol w:w="109"/>
        <w:gridCol w:w="279"/>
        <w:gridCol w:w="956"/>
        <w:gridCol w:w="144"/>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3" w:type="dxa"/>
            <w:gridSpan w:val="21"/>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 w:type="dxa"/>
            <w:tcBorders/>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financial institutions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Variable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JPMorgan 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91,538 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East West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Fixed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of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finance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Variable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JPMorgan 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of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East West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8"/>
        </w:rPr>
        <w:t xml:space="preserve">See </w:t>
      </w:r>
      <w:r>
        <w:rPr>
          <w:rFonts w:ascii="Arial;sans-serif" w:hAnsi="Arial;sans-serif"/>
          <w:b w:val="false"/>
          <w:i/>
          <w:color w:val="000000"/>
          <w:sz w:val="18"/>
        </w:rPr>
        <w:t>Note 8 - Long-Term Debt</w:t>
      </w:r>
      <w:r>
        <w:rPr>
          <w:color w:val="000000"/>
        </w:rPr>
        <w:t xml:space="preserve"> </w:t>
      </w:r>
      <w:r>
        <w:rPr>
          <w:rFonts w:ascii="Arial;sans-serif" w:hAnsi="Arial;sans-serif"/>
          <w:b w:val="false"/>
          <w:color w:val="000000"/>
          <w:sz w:val="18"/>
        </w:rPr>
        <w:t>for additional information regarding the Company’s debt.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Nonrecurring Fair Values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measures fair value of certain assets on a nonrecurring basis when events or changes in circumstances indicate that the carrying value of the assets may not be recoverable.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performed a quantitative goodwill impairment analysis as of December 31, 2025. The results of testing as of December 31, 2025 concluded that the estimated fair value of our one reporting unit fell short of carrying value, and therefore impairment existed as of that date. A goodwill impairment charge of $38.8 million was recorded for the year ended December 31, 2025, which resulted in the full impairment of our remaining goodwill balance. The calculation of the fair value of our reporting unit was determined using Level 3 fair value measurements due to its use of internal projections and unobservable measurement inputs.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There were no assets carried at nonrecurring fair value at March 31, 2026. There were no assets carried at nonrecurring fair value other than goodwill as of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6 -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Intangible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components of the intangible assets are as follows:</w:t>
      </w:r>
    </w:p>
    <w:p>
      <w:pPr>
        <w:pStyle w:val="TextBody"/>
        <w:bidi w:val="0"/>
        <w:spacing w:before="0" w:after="0"/>
        <w:jc w:val="both"/>
        <w:rPr/>
      </w:pPr>
      <w:r>
        <w:rPr/>
      </w:r>
    </w:p>
    <w:tbl>
      <w:tblPr>
        <w:tblW w:w="10284" w:type="dxa"/>
        <w:jc w:val="left"/>
        <w:tblInd w:w="0" w:type="dxa"/>
        <w:tblLayout w:type="fixed"/>
        <w:tblCellMar>
          <w:top w:w="28" w:type="dxa"/>
          <w:left w:w="28" w:type="dxa"/>
          <w:bottom w:w="28" w:type="dxa"/>
          <w:right w:w="28" w:type="dxa"/>
        </w:tblCellMar>
      </w:tblPr>
      <w:tblGrid>
        <w:gridCol w:w="571"/>
        <w:gridCol w:w="318"/>
        <w:gridCol w:w="312"/>
        <w:gridCol w:w="109"/>
        <w:gridCol w:w="109"/>
        <w:gridCol w:w="109"/>
        <w:gridCol w:w="211"/>
        <w:gridCol w:w="826"/>
        <w:gridCol w:w="109"/>
        <w:gridCol w:w="109"/>
        <w:gridCol w:w="109"/>
        <w:gridCol w:w="109"/>
        <w:gridCol w:w="248"/>
        <w:gridCol w:w="868"/>
        <w:gridCol w:w="130"/>
        <w:gridCol w:w="109"/>
        <w:gridCol w:w="109"/>
        <w:gridCol w:w="109"/>
        <w:gridCol w:w="211"/>
        <w:gridCol w:w="826"/>
        <w:gridCol w:w="109"/>
        <w:gridCol w:w="109"/>
        <w:gridCol w:w="109"/>
        <w:gridCol w:w="109"/>
        <w:gridCol w:w="211"/>
        <w:gridCol w:w="826"/>
        <w:gridCol w:w="109"/>
        <w:gridCol w:w="109"/>
        <w:gridCol w:w="109"/>
        <w:gridCol w:w="109"/>
        <w:gridCol w:w="248"/>
        <w:gridCol w:w="868"/>
        <w:gridCol w:w="130"/>
        <w:gridCol w:w="109"/>
        <w:gridCol w:w="109"/>
        <w:gridCol w:w="109"/>
        <w:gridCol w:w="211"/>
        <w:gridCol w:w="826"/>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Trademarks and trade names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(24,992)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(23,894)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(61,859)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(59,218)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Inventory Management System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(87,594)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(83,652)</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151,488 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Amortization expense for intangible assets was $3.9 million each for the three months ended March 31, 2026 and 2025,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7 - Derivative Financial Instruments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Derivative Instruments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 utilizes interest rate swaps (“IRS”) for the sole purpose of mitigating interest rate fluctuation risk associated with floating rate debt instruments (as defined in </w:t>
      </w:r>
      <w:r>
        <w:rPr>
          <w:rFonts w:ascii="Arial;sans-serif" w:hAnsi="Arial;sans-serif"/>
          <w:b w:val="false"/>
          <w:i/>
          <w:color w:val="000000"/>
          <w:sz w:val="18"/>
        </w:rPr>
        <w:t>Note 8 - Long-Term Debt</w:t>
      </w:r>
      <w:r>
        <w:rPr>
          <w:rFonts w:ascii="Arial;sans-serif" w:hAnsi="Arial;sans-serif"/>
          <w:b w:val="false"/>
          <w:color w:val="000000"/>
          <w:sz w:val="18"/>
        </w:rPr>
        <w:t>). The Company does not use any other derivative financial instruments for trading or speculative purposes.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August 20, 2019, HF Foods entered into two IRS contracts with East West Bank (the “EWB IRS”) for initial notional amounts of $1.1 million and $2.6 million, respectively. On April 20, 2023, the Company amended the corresponding mortgage term loans, which pegged the two mortgage term loans to 1-month Term SOFR (Secured Overnight Financing Rate) + 2.29% per annum for the remaining duration of the term loans. The amended EWB IRS contracts fixed the two term loans at 4.23% per annum until maturity in September 2029.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December 19, 2019, HF Foods entered into an IRS contract with Bank of America (the “BOA IRS”) for an initial notional amount of $2.7 million in conjunction with a newly contracted mortgage term loan of corresponding amount. On December 19, 2021, the Company entered into the Second Amendment to Loan Agreement, which pegged the mortgage term loan to Term SOFR + 2.50%. The BOA IRS was modified accordingly to fix the SOFR based loan to approximately 4.50%. The term loan and corresponding BOA IRS contract mature in December 2029.</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March 15, 2023, the Company entered into an amortizing IRS contract with JPMorgan Chase for an initial notional amount of $120.0 million, effective from March 1, 2023 and expiring in March 2028, as a means to partially hedge its existing floating rate loans exposure. Pursuant to the agreement, the Company will pay the swap counterparty a fixed rate of 4.11% in exchange for floating payments based on Term SOFR.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evaluated the aforementioned IRS contracts currently in place and did not designate those as cash flow hedges. Hence, the fair value changes of these IRS contracts are accounted for and recognized as a change in fair value of interest rate swap contracts in the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of March 31, 2026, the Company determined that the fair values of the IRS contracts were $0.3 million in an asset position and $0.8 million in a liability position. As of December 31, 2025, the fair values of the IRS contracts were $0.5 million in an asset position and none in a liability position. The Company includes these in other long-term assets and other long-term liabilities, respectively, on the consolidated balance sheets.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8 - Long-Term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Long-term debt at March 31, 2026 and December 31, 2025 is summarized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73"/>
        <w:gridCol w:w="586"/>
        <w:gridCol w:w="589"/>
        <w:gridCol w:w="109"/>
        <w:gridCol w:w="109"/>
        <w:gridCol w:w="109"/>
        <w:gridCol w:w="701"/>
        <w:gridCol w:w="684"/>
        <w:gridCol w:w="693"/>
        <w:gridCol w:w="109"/>
        <w:gridCol w:w="109"/>
        <w:gridCol w:w="109"/>
        <w:gridCol w:w="690"/>
        <w:gridCol w:w="690"/>
        <w:gridCol w:w="692"/>
        <w:gridCol w:w="109"/>
        <w:gridCol w:w="109"/>
        <w:gridCol w:w="109"/>
        <w:gridCol w:w="266"/>
        <w:gridCol w:w="910"/>
        <w:gridCol w:w="137"/>
        <w:gridCol w:w="109"/>
        <w:gridCol w:w="109"/>
        <w:gridCol w:w="109"/>
        <w:gridCol w:w="307"/>
        <w:gridCol w:w="1049"/>
        <w:gridCol w:w="230"/>
      </w:tblGrid>
      <w:tr>
        <w:trPr/>
        <w:tc>
          <w:tcPr>
            <w:tcW w:w="67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Bank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Interest Rate 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1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Bank of America </w:t>
            </w:r>
            <w:r>
              <w:rPr>
                <w:rFonts w:ascii="Arial;sans-serif" w:hAnsi="Arial;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 2026 - December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4.34% - 6.35%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East West Bank </w:t>
            </w:r>
            <w:r>
              <w:rPr>
                <w:rFonts w:ascii="Arial;sans-serif" w:hAnsi="Arial;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2027 - September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5.96% - 7.25%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5,282 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5,331 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JPMorgan Chase </w:t>
            </w:r>
            <w:r>
              <w:rPr>
                <w:rFonts w:ascii="Arial;sans-serif" w:hAnsi="Arial;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91,700 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96,196 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financial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2026 - July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6.60% - 7.70%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2,784 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debt, 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100,866 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106,292 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debt,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100,704 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106,119 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(6,683)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95,560 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99,436 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 xml:space="preserve">(a)Loan balance consists of real estate term loan and equipment term loan, collateralized by one real property and specific equipment. </w:t>
      </w:r>
      <w:r>
        <w:rPr>
          <w:rFonts w:ascii="Arial;sans-serif" w:hAnsi="Arial;sans-serif"/>
          <w:b w:val="false"/>
          <w:color w:val="000000"/>
          <w:sz w:val="16"/>
        </w:rPr>
        <w:t xml:space="preserve">The real estate term loan is pegged to TERM SOFR + 2.50%. </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(b)</w:t>
      </w:r>
      <w:r>
        <w:rPr>
          <w:rFonts w:ascii="Arial;sans-serif" w:hAnsi="Arial;sans-serif"/>
          <w:b w:val="false"/>
          <w:color w:val="000000"/>
          <w:sz w:val="16"/>
        </w:rPr>
        <w:t>Real estate term loans with East West Bank are collateralized by three real properties. Balloon payments of $1.9 million and $2.9 million are due at maturity in 2027 and 2029, respectively.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(c)Real estate term loan with a principal balance of $91.7 million as of March 31, 2026 and $96.2 million as of December 31, 2025 is secured by assets held by the Company and has a maturity date of January 2030.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terms of the various loan agreements related to long-term bank borrowings require the Company to comply with certain financial covenants, including, but not limited to, a fixed charge coverage ratio and effective tangible net worth. As of March 31, 2026, the Company was in compliance with its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Credit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March 31, 2022, the Company entered into the Third Amended Credit Agreement extending the Revolving Facility for five years, with a maturity date of March 31, 2027. The Third Amended Credit Agreement provides for a $100.0 million asset-secured revolving credit facility with a one-month SOFR plus a credit adjustment of 0.1% plus 1.375% per annum. On February 6, 2024, the Company amended the Third Amended Credit Agreement to (i) remove a cap on permitted indebtedness in respect of capital lease obligations, subject to certain enumerated conditions; (ii) create a reserve on the borrowing base, which will be reduced on a dollar-for-dollar basis once the Company has made expenditures in excess of such amount relating to the development and construction of certain real property, and which amounts shall be excluded from certain financial covenants under the Third Amended Credit Agreement and; (iii) remove certain sublease income from various financial covenants. On July 15, 2024, the Company again amended the Third Amended Credit Agreement to (i) increase the issuing bank sublimit to $10.0 million and; (ii) modify the due date for a borrowing base certificate based on availability under the revolving credit facility.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February 12, 2025, the Company entered into a Joinder and Amendment no. 4 to the Third Amended Credit Agreement, which revised certain terms by, among other things, (i) increasing the Revolving Commitment (as defined in the Credit Agreement) from $100.0 million to $125.0 million, (ii) joining three new subsidiaries of the Company to the Credit Agreement, each as a “Borrower” thereunder, (iii) joining Wells Fargo Bank, N.A. to the credit agreement as a “Lender” thereunder, (iv) amending certain affirmative covenants commensurate with the increase in the Revolving Facility, and (v) amending certain restrictions regarding incurring obligations under real property leases and equipment financings in the ordinary course of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March 30, 2026, the Company entered into a Joinder and Amendment no. 5 (the “Fifth Amendment”) to the Third Amended Credit Agreement, with JPMorgan Chase Bank, and certain other lender parties thereto, to revise the Third Amended Credit Agreement. The Fifth Amendment revises the credit agreement to (i) extend the maturity date of the credit facility to the earlier of March 31, 2031 or certain other dates subject to conditions specified in the agreement; (ii) amend the interest rate to be based upon the one month SOFR plus a fixed spread based upon the daily availability of the aggregate revolving commitment; and (iii) add HF Atlanta, LLC as an additional loan party as a “Borrower” thereunder.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March 31, 2026, the Company was in compliance with its covenants. The outstanding principal balance on the line of credit as of March 31, 2026 was $61.8 million and outstanding letters of credit amounted to $8.0 million leaving access to approximately $55.2 million in additional funds through our $125.0 million line of credit, subject to a borrowing base calculation.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9 - Shareholders' Equity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Common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had 100,000,000 shares of common stock authorized, with a par value of $0.0001 per share as of March 31, 2026 and December 31, 2025.</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September 25, 2025, the Company entered into an At-the-Market (ATM) Sales Agreement with D.A. Davidson &amp; Co. and Roth Capital Partners, LLC, pursuant to which the Company may sell, from time to time, at its discretion, shares (the “Shares”) of the Company’s common stock, par value $0.0001 per share, having an aggregate offering price of up to $100.0 million, subject to the terms of the sales agreement. During the quarter ended March 31, 2026, the Company sold 155,000 Shares for cash proceeds of $0.3 million under the offering. The Company sold no Shares under the offering during the year ended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Preferred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had authorized 100,000 shares of Series A Participating Preferred Stock, with a par value of $0.001 per share and 1,000,000 shares of Preferred Stock, with a par value of $0.001 per share as of March 31, 2026 and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had no preferred stock outstanding as of March 31, 2026 or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10 - Earnings (Loss) Per Share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The Company computes earnings (loss) per share (“EPS”) in accordance with ASC Topic 260 (“ASC 260”), </w:t>
      </w:r>
      <w:r>
        <w:rPr>
          <w:rFonts w:ascii="Arial;sans-serif" w:hAnsi="Arial;sans-serif"/>
          <w:b w:val="false"/>
          <w:i/>
          <w:color w:val="000000"/>
          <w:sz w:val="18"/>
        </w:rPr>
        <w:t>Earnings per Share</w:t>
      </w:r>
      <w:r>
        <w:rPr>
          <w:rFonts w:ascii="Arial;sans-serif" w:hAnsi="Arial;sans-serif"/>
          <w:b w:val="false"/>
          <w:color w:val="000000"/>
          <w:sz w:val="18"/>
        </w:rPr>
        <w:t>. ASC 260 requires companies with complex capital structures to present basic and diluted EPS. Basic EPS is measured as net income (loss)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1,446,582 potential common shares related to performance-based restricted stock units and restricted stock units that were excluded from the calculation of diluted EPS for the three months ended March 31, 2025, because their effect could have been anti-dilutive.</w:t>
      </w:r>
    </w:p>
    <w:p>
      <w:pPr>
        <w:pStyle w:val="TextBody"/>
        <w:bidi w:val="0"/>
        <w:spacing w:before="0" w:after="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following table sets forth the computation of basic and diluted EPS:</w:t>
      </w:r>
    </w:p>
    <w:tbl>
      <w:tblPr>
        <w:tblW w:w="9276" w:type="dxa"/>
        <w:jc w:val="left"/>
        <w:tblInd w:w="0" w:type="dxa"/>
        <w:tblLayout w:type="fixed"/>
        <w:tblCellMar>
          <w:top w:w="28" w:type="dxa"/>
          <w:left w:w="28" w:type="dxa"/>
          <w:bottom w:w="28" w:type="dxa"/>
          <w:right w:w="28" w:type="dxa"/>
        </w:tblCellMar>
      </w:tblPr>
      <w:tblGrid>
        <w:gridCol w:w="1604"/>
        <w:gridCol w:w="1408"/>
        <w:gridCol w:w="1413"/>
        <w:gridCol w:w="109"/>
        <w:gridCol w:w="109"/>
        <w:gridCol w:w="109"/>
        <w:gridCol w:w="259"/>
        <w:gridCol w:w="259"/>
        <w:gridCol w:w="502"/>
        <w:gridCol w:w="1465"/>
        <w:gridCol w:w="259"/>
        <w:gridCol w:w="109"/>
        <w:gridCol w:w="109"/>
        <w:gridCol w:w="109"/>
        <w:gridCol w:w="270"/>
        <w:gridCol w:w="811"/>
        <w:gridCol w:w="109"/>
        <w:gridCol w:w="109"/>
        <w:gridCol w:w="154"/>
      </w:tblGrid>
      <w:tr>
        <w:trPr/>
        <w:tc>
          <w:tcPr>
            <w:tcW w:w="16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780" w:type="dxa"/>
            <w:gridSpan w:val="8"/>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thousands, except share and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HF Foods Group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53,053,610 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52,737,650 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879,441 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dilutive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53,933,051 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52,737,650 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11 -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As of March 31, 2026, the Company had immaterial operations outside the U.S. and as such, no foreign income tax was recorded.</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For the three months ended March 31, 2026 and 2025, the Company’s effective income tax rates were (41.4)% and 37.9%, respectively. For the three months ended March 31, 2026, the effective income tax rate differed from the federal statutory rate primarily due to significant investment tax credits recognized in the period, partially offset by permanent differences and state income taxes. For the three months ended March 31, 2025, the Company’s effective income tax rate differed from the federal statutory tax rate primarily due to permanent differences and state income taxes.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12 - Related Party Transactions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5% shareholdings of the Company.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believes that Mr. Xiao Mou Zhang (“Mr. Zhang”), the former Chief Executive Officer through October 24, 2024, together with certain of his immediate family members are collectively beneficial owners of more than 5% of the Company’s outstanding common stock, and they have ownership interests in various related parties involved in (i) the distribution of food and related products to restaurants and other retailers and (ii) the supply of fresh food, frozen food, and packaging supplies to distributors. Mr. Zhang does not have any involvement in negotiations with any of the above-mentioned related parties.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believes that Mr. Zhou Min Ni (“Mr. Ni”), the Company’s former Co-Chief Executive Officer, together with various trusts for the benefit of Mr. Ni’s four children, are collectively beneficial owners of more than 5% of the outstanding shares of the Company’s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related party transactions as of March 31, 2026 and December 31, 2025 and for the three months ended March 31, 2026 and 2025, are identified as follows:</w:t>
      </w:r>
    </w:p>
    <w:p>
      <w:pPr>
        <w:pStyle w:val="TextBody"/>
        <w:bidi w:val="0"/>
        <w:spacing w:before="0" w:after="0"/>
        <w:jc w:val="both"/>
        <w:rPr/>
      </w:pPr>
      <w:r>
        <w:rPr/>
      </w:r>
    </w:p>
    <w:p>
      <w:pPr>
        <w:pStyle w:val="TextBody"/>
        <w:bidi w:val="0"/>
        <w:spacing w:lineRule="auto" w:line="268" w:before="0" w:after="0"/>
        <w:jc w:val="both"/>
        <w:rPr>
          <w:rFonts w:ascii="Arial;sans-serif" w:hAnsi="Arial;sans-serif"/>
          <w:b/>
          <w:i/>
          <w:color w:val="000000"/>
          <w:sz w:val="18"/>
        </w:rPr>
      </w:pPr>
      <w:r>
        <w:rPr>
          <w:rFonts w:ascii="Arial;sans-serif" w:hAnsi="Arial;sans-serif"/>
          <w:b/>
          <w:i/>
          <w:color w:val="000000"/>
          <w:sz w:val="18"/>
        </w:rPr>
        <w:t>Related Party Sales, Purchases, and Lease Agreements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Purchases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Below is a summary of purchases of goods and services from related parties recorded for the three months ended March 31, 2026 and 2025, respectively: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60"/>
        <w:gridCol w:w="1560"/>
        <w:gridCol w:w="1567"/>
        <w:gridCol w:w="109"/>
        <w:gridCol w:w="109"/>
        <w:gridCol w:w="109"/>
        <w:gridCol w:w="230"/>
        <w:gridCol w:w="230"/>
        <w:gridCol w:w="231"/>
        <w:gridCol w:w="109"/>
        <w:gridCol w:w="109"/>
        <w:gridCol w:w="109"/>
        <w:gridCol w:w="204"/>
        <w:gridCol w:w="204"/>
        <w:gridCol w:w="204"/>
        <w:gridCol w:w="204"/>
        <w:gridCol w:w="397"/>
        <w:gridCol w:w="878"/>
        <w:gridCol w:w="204"/>
        <w:gridCol w:w="109"/>
        <w:gridCol w:w="109"/>
        <w:gridCol w:w="109"/>
        <w:gridCol w:w="211"/>
        <w:gridCol w:w="616"/>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536" w:type="dxa"/>
            <w:gridSpan w:val="8"/>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4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Asahi 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w:t>
            </w:r>
          </w:p>
        </w:tc>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Conexus Food Solutions LLC (formerly known as Best Food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Ocean Pacific Seafood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Rainfield Ranches,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(a)</w:t>
      </w:r>
      <w:r>
        <w:rPr>
          <w:rFonts w:ascii="Arial;sans-serif" w:hAnsi="Arial;sans-serif"/>
          <w:b w:val="false"/>
          <w:color w:val="000000"/>
          <w:sz w:val="16"/>
        </w:rPr>
        <w:t>The Company, through its subsidiary Mountain Food, LLC, owns an equity interest in this entity.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(b)An equity interest is held by three Irrevocable Trusts for the benefit of Mr. Zhang’s children.</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(c)</w:t>
      </w:r>
      <w:r>
        <w:rPr>
          <w:rFonts w:ascii="Arial;sans-serif" w:hAnsi="Arial;sans-serif"/>
          <w:b w:val="false"/>
          <w:color w:val="000000"/>
          <w:sz w:val="16"/>
        </w:rPr>
        <w:t>Mr. Zhou Min Ni owns an equity interest in this entity.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Sales</w:t>
      </w:r>
    </w:p>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Below is a summary of sales to related parties recorded for the three months ended March 31, 2026 and 2025,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856"/>
        <w:gridCol w:w="1856"/>
        <w:gridCol w:w="1864"/>
        <w:gridCol w:w="109"/>
        <w:gridCol w:w="109"/>
        <w:gridCol w:w="109"/>
        <w:gridCol w:w="204"/>
        <w:gridCol w:w="204"/>
        <w:gridCol w:w="204"/>
        <w:gridCol w:w="204"/>
        <w:gridCol w:w="396"/>
        <w:gridCol w:w="1157"/>
        <w:gridCol w:w="204"/>
        <w:gridCol w:w="109"/>
        <w:gridCol w:w="109"/>
        <w:gridCol w:w="109"/>
        <w:gridCol w:w="211"/>
        <w:gridCol w:w="466"/>
        <w:gridCol w:w="109"/>
        <w:gridCol w:w="109"/>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387" w:type="dxa"/>
            <w:gridSpan w:val="8"/>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5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ABC Food Trading,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w:t>
            </w:r>
          </w:p>
        </w:tc>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Asahi Food,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Conexus Food Solutions LLC (formerly known as Best Food Services,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First Choice Seafood,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Fortune One Foods,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540"/>
        <w:jc w:val="both"/>
        <w:rPr/>
      </w:pPr>
      <w:r>
        <w:rPr>
          <w:rFonts w:ascii="Arial;sans-serif" w:hAnsi="Arial;sans-serif"/>
          <w:b w:val="false"/>
          <w:color w:val="000000"/>
          <w:sz w:val="16"/>
          <w:shd w:fill="FFFFFF" w:val="clear"/>
        </w:rPr>
        <w:t>(a)</w:t>
      </w:r>
      <w:r>
        <w:rPr>
          <w:rFonts w:ascii="Arial;sans-serif" w:hAnsi="Arial;sans-serif"/>
          <w:b w:val="false"/>
          <w:color w:val="000000"/>
          <w:sz w:val="16"/>
        </w:rPr>
        <w:t>An equity interest is held by three Irrevocable Trusts for the benefit of Mr. Zhang’s children.</w:t>
      </w:r>
    </w:p>
    <w:p>
      <w:pPr>
        <w:pStyle w:val="TextBody"/>
        <w:bidi w:val="0"/>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(b)The Company, through its subsidiary Mountain Food, LLC, owns an equity interest in this entity.</w:t>
      </w:r>
    </w:p>
    <w:p>
      <w:pPr>
        <w:pStyle w:val="TextBody"/>
        <w:bidi w:val="0"/>
        <w:spacing w:lineRule="auto" w:line="288" w:before="0" w:after="0"/>
        <w:ind w:left="0" w:right="0" w:hanging="540"/>
        <w:jc w:val="both"/>
        <w:rPr/>
      </w:pPr>
      <w:r>
        <w:rPr>
          <w:rFonts w:ascii="Arial;sans-serif" w:hAnsi="Arial;sans-serif"/>
          <w:b w:val="false"/>
          <w:color w:val="000000"/>
          <w:sz w:val="16"/>
          <w:shd w:fill="FFFFFF" w:val="clear"/>
        </w:rPr>
        <w:t>(c)</w:t>
      </w:r>
      <w:r>
        <w:rPr>
          <w:rFonts w:ascii="Arial;sans-serif" w:hAnsi="Arial;sans-serif"/>
          <w:b w:val="false"/>
          <w:color w:val="000000"/>
          <w:sz w:val="16"/>
        </w:rPr>
        <w:t>Mr. Zhou Min Ni owns an equity interest in this entity indirectly through its parent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Lease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has a lease agreement with a related party, Asahi Food, Inc. Beginning 2014, the Company leased a warehouse to Asahi Food, Inc. under a commercial lease agreement which was rescinded March 1, 2020. A new commercial lease agreement was entered into, expiring September 1, 2023, with optional renewal periods. The lease term was extended by an addendum dated September 1, 2023, which extended the lease through September 1, 2025. A second addendum, executed effective September 1, 2025, was enacted during the third quarter 2025 which extends the expiration of the lease by one year to September 1, 2026. Rental income was $36 thousand for both the three months ended March 31, 2026 and 2025, which is included in other income, net in the condensed consolidated statements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Related Party Balances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Accounts Receivable - Related Parties, Net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Below is a summary of accounts receivable with related parties recorded as of March 31, 2026 and December 31, 2025,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010"/>
        <w:gridCol w:w="2010"/>
        <w:gridCol w:w="2018"/>
        <w:gridCol w:w="109"/>
        <w:gridCol w:w="109"/>
        <w:gridCol w:w="109"/>
        <w:gridCol w:w="371"/>
        <w:gridCol w:w="820"/>
        <w:gridCol w:w="191"/>
        <w:gridCol w:w="109"/>
        <w:gridCol w:w="109"/>
        <w:gridCol w:w="109"/>
        <w:gridCol w:w="451"/>
        <w:gridCol w:w="999"/>
        <w:gridCol w:w="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6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w:t>
            </w:r>
          </w:p>
        </w:tc>
        <w:tc>
          <w:tcPr>
            <w:tcW w:w="6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6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Conexus Food Solutions LLC (formerly known as Best Food Services,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6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Fortune One Foods,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540"/>
        <w:jc w:val="both"/>
        <w:rPr/>
      </w:pPr>
      <w:r>
        <w:rPr>
          <w:rFonts w:ascii="Arial;sans-serif" w:hAnsi="Arial;sans-serif"/>
          <w:b w:val="false"/>
          <w:color w:val="000000"/>
          <w:sz w:val="16"/>
          <w:shd w:fill="FFFFFF" w:val="clear"/>
        </w:rPr>
        <w:t>(a)</w:t>
      </w:r>
      <w:r>
        <w:rPr>
          <w:rFonts w:ascii="Arial;sans-serif" w:hAnsi="Arial;sans-serif"/>
          <w:b w:val="false"/>
          <w:color w:val="000000"/>
          <w:sz w:val="16"/>
        </w:rPr>
        <w:t>An equity interest is held by three Irrevocable Trusts for the benefit of Mr. Zhang’s children.</w:t>
      </w:r>
    </w:p>
    <w:p>
      <w:pPr>
        <w:pStyle w:val="TextBody"/>
        <w:bidi w:val="0"/>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(b)The Company, through its subsidiary Mountain Food, LLC, owns an equity interest in this entity.</w:t>
      </w:r>
    </w:p>
    <w:p>
      <w:pPr>
        <w:pStyle w:val="TextBody"/>
        <w:bidi w:val="0"/>
        <w:spacing w:lineRule="auto" w:line="288" w:before="0" w:after="0"/>
        <w:ind w:left="0" w:right="0" w:hanging="540"/>
        <w:jc w:val="both"/>
        <w:rPr/>
      </w:pPr>
      <w:r>
        <w:rPr>
          <w:rFonts w:ascii="Arial;sans-serif" w:hAnsi="Arial;sans-serif"/>
          <w:b w:val="false"/>
          <w:color w:val="000000"/>
          <w:sz w:val="16"/>
          <w:shd w:fill="FFFFFF" w:val="clear"/>
        </w:rPr>
        <w:t>(c)</w:t>
      </w:r>
      <w:r>
        <w:rPr>
          <w:rFonts w:ascii="Arial;sans-serif" w:hAnsi="Arial;sans-serif"/>
          <w:b w:val="false"/>
          <w:color w:val="000000"/>
          <w:sz w:val="16"/>
        </w:rPr>
        <w:t>Mr. Zhou Min Ni owns an equity interest in this entity indirectly through its parent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accounts receivable from these related parties are current and considered fully collectible. No allowance is deemed necessary as of March 31, 2026 and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Line of Credit Note - Related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issued a $51,000 line of credit note to Asahi Food, Inc. on November 1, 2024, which is outstanding at March 31, 2026 and included in other current assets in the consolidated balance sheet. Interest shall accrue at a rate of 7.25% per annum with monthly payments of interest only due beginning December 1, 2024 and continuing through the first day of each calendar month until the maturity date. The note was extended for an additional twelve months during the fourth quarter and will become due on October 31, 2026. Interest income was $616 and $1,233 for the three months ended March 31,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respectively, which is included in other income expense, net in the condensed consolidated statements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Accounts Payable - Related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the accounts payable to related parties are payable upon demand without interest. Below is a summary of accounts payable with related parties recorded as of March 31, 2026 and December 31, 2025,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007"/>
        <w:gridCol w:w="2007"/>
        <w:gridCol w:w="2015"/>
        <w:gridCol w:w="109"/>
        <w:gridCol w:w="109"/>
        <w:gridCol w:w="109"/>
        <w:gridCol w:w="372"/>
        <w:gridCol w:w="823"/>
        <w:gridCol w:w="192"/>
        <w:gridCol w:w="109"/>
        <w:gridCol w:w="109"/>
        <w:gridCol w:w="109"/>
        <w:gridCol w:w="452"/>
        <w:gridCol w:w="1002"/>
        <w:gridCol w:w="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6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Conexus Food Solutions LLC (formerly known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540"/>
        <w:jc w:val="both"/>
        <w:rPr/>
      </w:pPr>
      <w:r>
        <w:rPr>
          <w:rFonts w:ascii="Arial;sans-serif" w:hAnsi="Arial;sans-serif"/>
          <w:b w:val="false"/>
          <w:color w:val="000000"/>
          <w:sz w:val="16"/>
          <w:shd w:fill="FFFFFF" w:val="clear"/>
        </w:rPr>
        <w:t>(a)</w:t>
      </w:r>
      <w:r>
        <w:rPr>
          <w:rFonts w:ascii="Arial;sans-serif" w:hAnsi="Arial;sans-serif"/>
          <w:b w:val="false"/>
          <w:color w:val="000000"/>
          <w:sz w:val="16"/>
        </w:rPr>
        <w:t>An equity interest is held by three Irrevocable Trusts for the benefit of Mr. Zhang’s children.</w:t>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13 - Stock-Based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2021, the Company began issuing awards under the HF Foods Group Inc. 2018 Omnibus Equity Incentive Plan (the “2018 Incentive Plan”), which reserves up to 3,000,000 shares of the Company’s common stock for issuance of awards to employees and non-employee directors. On June 3, 2024, the Company’s shareholders approved an amendment to the 2018 Incentive Plan which increased the number of shares of the Company’s common stock available for issuance under the 2018 Incentive Plan to 7,000,000, an increase of 4,000,000 shares. As of March 31, 2026, the Company had 535,810 time-based vesting restricted stock units unvested, 912,071 performance-based restricted stock units unvested, 1,515,321 shares of common stock vested and 4,036,798 shares remaining available for future awards under the 2018 Incentive Plan.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Stock-based compensation expense was $0.3 million and $0.4 million for the three months ended March 31, 2026 and 2025, respectively. Stock-based compensation expense was included in distribution, selling and administrative expenses in the Company’s condensed consolidated statements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March 31, 2026, there was $2.0 million of total unrecognized compensation cost related to all non-vested outstanding RSUs and PSUs outstanding under the 2018 Incentive Plan, with a weighted average remaining service period of 1.67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14 - Segment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Company’s business consists of one operating segment, which is also its one reportable segment. The Company operates solely in the United States and derives revenues by providing sales of food and non-food to customers. The segment’s customer base consists primarily of Asian restaurants located throughout the United States. The Company’s chief operating decision maker (“CODM”) is its chief executive officer, who reviews financial information presented on a consolidated basis. The CODM uses consolidated net income (loss) to assess financial performance and allocate resources. The Company’s measure of segment assets is total assets, as reported on the consolidated balance sheets.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selected financial information with respect to the Company’s single operating segment for the three months ended March 31,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96"/>
        <w:gridCol w:w="1839"/>
        <w:gridCol w:w="1843"/>
        <w:gridCol w:w="109"/>
        <w:gridCol w:w="109"/>
        <w:gridCol w:w="173"/>
        <w:gridCol w:w="173"/>
        <w:gridCol w:w="335"/>
        <w:gridCol w:w="1315"/>
        <w:gridCol w:w="173"/>
        <w:gridCol w:w="109"/>
        <w:gridCol w:w="109"/>
        <w:gridCol w:w="109"/>
        <w:gridCol w:w="211"/>
        <w:gridCol w:w="826"/>
        <w:gridCol w:w="109"/>
        <w:gridCol w:w="109"/>
        <w:gridCol w:w="158"/>
      </w:tblGrid>
      <w:tr>
        <w:trPr/>
        <w:tc>
          <w:tcPr>
            <w:tcW w:w="2396"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312,002 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261,476 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related labor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segment expenses </w:t>
            </w:r>
            <w:r>
              <w:rPr>
                <w:rFonts w:ascii="Arial;sans-serif" w:hAnsi="Arial;sans-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49,489 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 AND COMPREHENSIVE INCOME (LOSS) ATTRIBUTABLE TO HF FOODS GROUP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(a)Other segment expenses include distribution, selling and administrative expenses which are not provided to the CODM on a regular basis. These expenses include primarily auto &amp; truck expense, insurance, occupancy expense and utilities.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15 - Commitments and Contingencies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revises its estimates when additional information becomes available. Adverse outcomes in some or all of these matters may result in significant monetary damages or injunctive relief against the Company that could adversely affect its ability to conduct business. There also exists the possibility of a material adverse effect on the Company’s financial statements for the period in which the effect of an unfavorable outcome becomes probable and reasonably estimable. Legal costs associated with loss contingencies are expensed as incurred.</w:t>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18"/>
        </w:rPr>
      </w:pPr>
      <w:r>
        <w:rPr>
          <w:rFonts w:ascii="Arial;sans-serif" w:hAnsi="Arial;sans-serif"/>
          <w:b/>
          <w:i/>
          <w:color w:val="000000"/>
          <w:sz w:val="18"/>
        </w:rPr>
        <w:t>AnHeart Lease Matter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connection with lease arrangements relating to properties located at 273 Fifth Avenue and 275 Fifth Avenue in Manhattan, New York, the Company previously guaranteed certain obligations of AnHeart, Inc. under those leases. Following AnHeart’s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default under the 275 Fifth Avenue lease in 2022, the Company performed under its guaranty and pursued remedies to recover amounts it believes are owed under contractual and related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February 25, 2022, the Company initiated legal proceedings against AnHeart, Inc. and Minsheng Pharmaceutical Group Company, Ltd. (“Minsheng”), who in 2019 executed on behalf of AnHeart, an unconditional guaranty of all liabilities arising from the leases, in favor of the Company. In March 2022, that proceeding was stayed in connection with certain payment commitments being made by AnHeart. After such payment commitments were not satisfied, the Company commenced a new action in New York County Supreme Court on October 25, 2023 against AnHeart and Minsheng seeking recovery of amounts alleged to be due under the relevant arrangements. The parties subsequently entered into a settlement arrangement providing for specified monthly payments through December 2025, after which regular monthly rental payments were to resume in accordance with the applicable lease terms.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continues to evaluate and pursue its rights and remedies with respect to these matters. The ultimate outcome cannot be predicted with certainty. Based on information currently available, management does not believe that the resolution of this matter will have a material adverse effect on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Other Commitments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March 31, 2026, the Company had additional automobile leases that had not yet commenced which total $0.8 million in future minimum lease payments.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ITEM 2.    Management’s Discussion and Analysis of Financial Condition and Results of Operations.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CAUTIONARY NOTE REGARDING FORWARD-LOOKING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Quarterly Report on Form 10-Q for HF Foods Group Inc. (“HF Foods”, the “Company,” “we,” “us,” or “our”) contains forward-looking statements. Forward-looking statements include statements about our expectations, beliefs, plans, objectives, intentions, assumptions and other statements that are not historical facts. Words or phrases such as “anticipate,” “believe,” “continue,” “could,” “estimate,” “expect,” “intend,” “may,” “might,”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Factors that could cause or contribute to such differences include those discussed in this Quarterly Report on Form 10-Q, and in particular, the risks discussed under the caption “Risk Factors” in Item 1A and those discussed in other documents we file with the Securities and Exchange Commission (the “SEC”).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Except as otherwise required by law, we undertake no obligation to update or revise any forward-looking statement as a result of new information, future events or otherwise.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Overview</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market and distribute Asian specialty food products, seafood, fresh produce, frozen and dry food, and non-food products primarily to Asian restaurants and other foodservice customers throughout the United States. HF Foods was formed through a merger between two complementary market leaders, HF Foods Group Inc. and B&amp;R Global. In 2022, HF Foods acquired two frozen seafood suppliers, expanding its distribution network in Illinois, Texas and along the eastern seaboard, from Massachusetts to Florida, as well as Pennsylvania, West Virginia, Ohio, Kentucky, and Tennessee.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aim to supply the increasing demand for Asian American restaurant cuisine, leveraging our nationwide network of distribution centers and our strong relations with growers and suppliers of fresh, high-quality specialty restaurant food products and supplies primarily in North America, South America and Asia. Capitalizing on our deep understanding of the Asian culture, we have become a trusted partner serving Asian restaurants and other foodservice customers throughout the United States. We are dedicated to serving the vast array of Asian restaurants in need of high-quality and specialized food ingredients at competitive prices.</w:t>
      </w:r>
    </w:p>
    <w:p>
      <w:pPr>
        <w:pStyle w:val="TextBody"/>
        <w:bidi w:val="0"/>
        <w:spacing w:lineRule="auto" w:line="288" w:before="180" w:after="283"/>
        <w:jc w:val="both"/>
        <w:rPr>
          <w:rFonts w:ascii="Arial;sans-serif" w:hAnsi="Arial;sans-serif"/>
          <w:b/>
          <w:i/>
          <w:color w:val="000000"/>
          <w:sz w:val="18"/>
        </w:rPr>
      </w:pPr>
      <w:r>
        <w:rPr>
          <w:rFonts w:ascii="Arial;sans-serif" w:hAnsi="Arial;sans-serif"/>
          <w:b/>
          <w:i/>
          <w:color w:val="000000"/>
          <w:sz w:val="18"/>
        </w:rPr>
        <w:t>Transformation Plan</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To position the business for long-term success, starting in 2024, we initiated a comprehensive, operational transformation plan in an effort to drive growth and cost savings. Our transformation is focused on four key areas, each of which we expect will positively impact future growth or cost savings. The components of our transformation were as follows:</w:t>
      </w:r>
    </w:p>
    <w:p>
      <w:pPr>
        <w:pStyle w:val="TextBody"/>
        <w:bidi w:val="0"/>
        <w:spacing w:lineRule="auto" w:line="288" w:before="240" w:after="283"/>
        <w:ind w:left="0" w:right="0" w:hanging="360"/>
        <w:jc w:val="both"/>
        <w:rPr/>
      </w:pPr>
      <w:r>
        <w:rPr>
          <w:color w:val="000000"/>
        </w:rPr>
        <w:t>•</w:t>
      </w:r>
      <w:r>
        <w:rPr>
          <w:rFonts w:ascii="Arial;sans-serif" w:hAnsi="Arial;sans-serif"/>
          <w:b/>
          <w:color w:val="000000"/>
          <w:sz w:val="18"/>
        </w:rPr>
        <w:t xml:space="preserve">Centralized Purchasing: </w:t>
      </w:r>
      <w:r>
        <w:rPr>
          <w:rFonts w:ascii="Arial;sans-serif" w:hAnsi="Arial;sans-serif"/>
          <w:b w:val="false"/>
          <w:color w:val="000000"/>
          <w:sz w:val="18"/>
        </w:rPr>
        <w:t>We continue the roll out of our centralized purchasing program with seafood and poultry products and have yielded positive results with respect to margin expansion for the product category. We are now focusing on expanding the program to other categories.</w:t>
      </w:r>
    </w:p>
    <w:p>
      <w:pPr>
        <w:pStyle w:val="TextBody"/>
        <w:bidi w:val="0"/>
        <w:spacing w:lineRule="auto" w:line="288" w:before="180" w:after="283"/>
        <w:ind w:left="0" w:right="0" w:hanging="360"/>
        <w:jc w:val="both"/>
        <w:rPr/>
      </w:pPr>
      <w:r>
        <w:rPr>
          <w:color w:val="000000"/>
        </w:rPr>
        <w:t>•</w:t>
      </w:r>
      <w:r>
        <w:rPr>
          <w:rFonts w:ascii="Arial;sans-serif" w:hAnsi="Arial;sans-serif"/>
          <w:b/>
          <w:color w:val="000000"/>
          <w:sz w:val="18"/>
        </w:rPr>
        <w:t xml:space="preserve">Fleet and Transportation: </w:t>
      </w:r>
      <w:r>
        <w:rPr>
          <w:rFonts w:ascii="Arial;sans-serif" w:hAnsi="Arial;sans-serif"/>
          <w:b w:val="false"/>
          <w:color w:val="000000"/>
          <w:sz w:val="18"/>
        </w:rPr>
        <w:t>We have established a national fleet maintenance program. Within this, we have defined new truck specifications, initiated a replacement program for 50% of our current fleet, implemented a national fuel savings program to maximize efficiency, and plan to outsource domestic inbound freight logistics to a third-party partner to adopt a cohesive national approach to our supply chain. This is expected to deliver substantial improvements to our transportation system moving forward.</w:t>
      </w:r>
    </w:p>
    <w:p>
      <w:pPr>
        <w:pStyle w:val="TextBody"/>
        <w:bidi w:val="0"/>
        <w:spacing w:lineRule="auto" w:line="288" w:before="180" w:after="283"/>
        <w:ind w:left="0" w:right="0" w:hanging="360"/>
        <w:jc w:val="both"/>
        <w:rPr/>
      </w:pPr>
      <w:r>
        <w:rPr>
          <w:color w:val="000000"/>
        </w:rPr>
        <w:t>•</w:t>
      </w:r>
      <w:r>
        <w:rPr>
          <w:rFonts w:ascii="Arial;sans-serif" w:hAnsi="Arial;sans-serif"/>
          <w:b/>
          <w:color w:val="000000"/>
          <w:sz w:val="18"/>
        </w:rPr>
        <w:t xml:space="preserve">Digital Transformation: </w:t>
      </w:r>
      <w:r>
        <w:rPr>
          <w:rFonts w:ascii="Arial;sans-serif" w:hAnsi="Arial;sans-serif"/>
          <w:b w:val="false"/>
          <w:color w:val="000000"/>
          <w:sz w:val="18"/>
        </w:rPr>
        <w:t>We have completed the implementation of a modern ERP solution across all of our distribution centers. The Company expects this solution to deliver enhanced operational efficiency and responsiveness, streamlined processes, and greater data driven decision-making.</w:t>
      </w:r>
    </w:p>
    <w:p>
      <w:pPr>
        <w:pStyle w:val="TextBody"/>
        <w:bidi w:val="0"/>
        <w:spacing w:lineRule="auto" w:line="288" w:before="180" w:after="283"/>
        <w:ind w:left="0" w:right="0" w:hanging="360"/>
        <w:jc w:val="both"/>
        <w:rPr/>
      </w:pPr>
      <w:r>
        <w:rPr>
          <w:color w:val="000000"/>
        </w:rPr>
        <w:t>•</w:t>
      </w:r>
      <w:r>
        <w:rPr>
          <w:rFonts w:ascii="Arial;sans-serif" w:hAnsi="Arial;sans-serif"/>
          <w:b/>
          <w:color w:val="000000"/>
          <w:sz w:val="18"/>
        </w:rPr>
        <w:t xml:space="preserve">Facility Upgrades: </w:t>
      </w:r>
      <w:r>
        <w:rPr>
          <w:rFonts w:ascii="Arial;sans-serif" w:hAnsi="Arial;sans-serif"/>
          <w:b w:val="false"/>
          <w:color w:val="000000"/>
          <w:sz w:val="18"/>
        </w:rPr>
        <w:t xml:space="preserve">We continue reorganizing and upgrading some of our facilities and distribution centers to efficiently streamline costs, and to capitalize on cross-selling opportunities with both new and existing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18"/>
        </w:rPr>
      </w:pPr>
      <w:r>
        <w:rPr>
          <w:rFonts w:ascii="Arial;sans-serif" w:hAnsi="Arial;sans-serif"/>
          <w:b/>
          <w:i/>
          <w:color w:val="000000"/>
          <w:sz w:val="18"/>
        </w:rPr>
        <w:t>Financial Overview</w:t>
      </w:r>
    </w:p>
    <w:tbl>
      <w:tblPr>
        <w:tblW w:w="7286" w:type="dxa"/>
        <w:jc w:val="left"/>
        <w:tblInd w:w="0" w:type="dxa"/>
        <w:tblLayout w:type="fixed"/>
        <w:tblCellMar>
          <w:top w:w="28" w:type="dxa"/>
          <w:left w:w="28" w:type="dxa"/>
          <w:bottom w:w="28" w:type="dxa"/>
          <w:right w:w="28" w:type="dxa"/>
        </w:tblCellMar>
      </w:tblPr>
      <w:tblGrid>
        <w:gridCol w:w="738"/>
        <w:gridCol w:w="650"/>
        <w:gridCol w:w="651"/>
        <w:gridCol w:w="221"/>
        <w:gridCol w:w="866"/>
        <w:gridCol w:w="114"/>
        <w:gridCol w:w="114"/>
        <w:gridCol w:w="114"/>
        <w:gridCol w:w="114"/>
        <w:gridCol w:w="221"/>
        <w:gridCol w:w="866"/>
        <w:gridCol w:w="114"/>
        <w:gridCol w:w="109"/>
        <w:gridCol w:w="109"/>
        <w:gridCol w:w="109"/>
        <w:gridCol w:w="211"/>
        <w:gridCol w:w="721"/>
        <w:gridCol w:w="109"/>
        <w:gridCol w:w="109"/>
        <w:gridCol w:w="109"/>
        <w:gridCol w:w="109"/>
        <w:gridCol w:w="109"/>
        <w:gridCol w:w="109"/>
        <w:gridCol w:w="109"/>
        <w:gridCol w:w="109"/>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additional information on our non-GAAP financial measures, EBITDA and Adjusted EBITDA, see the section entitled “EBITDA and Adjusted EBITDA”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How to Assess HF Foods’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Net Revenue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Gross Profit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EBITDA and Adjusted EBITDA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condensed consolidated financial statements included elsewhere in this report, and such information is not meant to replace or supersede GAAP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Foods’ results as reported under GAAP. For example, Adjusted EBITDA:</w:t>
      </w:r>
    </w:p>
    <w:p>
      <w:pPr>
        <w:pStyle w:val="TextBody"/>
        <w:bidi w:val="0"/>
        <w:spacing w:lineRule="auto" w:line="288" w:before="240" w:after="283"/>
        <w:ind w:left="0" w:right="0" w:firstLine="180"/>
        <w:jc w:val="both"/>
        <w:rPr/>
      </w:pPr>
      <w:r>
        <w:rPr>
          <w:color w:val="000000"/>
        </w:rPr>
        <w:t>•</w:t>
      </w:r>
      <w:r>
        <w:rPr>
          <w:rFonts w:ascii="Arial;sans-serif" w:hAnsi="Arial;sans-serif"/>
          <w:b w:val="false"/>
          <w:color w:val="000000"/>
          <w:sz w:val="18"/>
        </w:rPr>
        <w:t>excludes certain tax payments that may represent a reduction in cash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18"/>
        </w:rPr>
        <w:t>does not reflect any cash capital expenditure requirements for the assets being depreciated and amortized that may have to be replaced in the future;</w:t>
      </w:r>
    </w:p>
    <w:p>
      <w:pPr>
        <w:pStyle w:val="TextBody"/>
        <w:bidi w:val="0"/>
        <w:spacing w:lineRule="auto" w:line="288" w:before="120" w:after="283"/>
        <w:ind w:left="0" w:right="0" w:firstLine="180"/>
        <w:jc w:val="both"/>
        <w:rPr/>
      </w:pPr>
      <w:r>
        <w:rPr>
          <w:color w:val="000000"/>
        </w:rPr>
        <w:t>•</w:t>
      </w:r>
      <w:r>
        <w:rPr>
          <w:rFonts w:ascii="Arial;sans-serif" w:hAnsi="Arial;sans-serif"/>
          <w:b w:val="false"/>
          <w:color w:val="000000"/>
          <w:sz w:val="18"/>
        </w:rPr>
        <w:t>does not reflect changes in, or cash requirements for, our working capital needs; and</w:t>
      </w:r>
    </w:p>
    <w:p>
      <w:pPr>
        <w:pStyle w:val="TextBody"/>
        <w:bidi w:val="0"/>
        <w:spacing w:lineRule="auto" w:line="288" w:before="120" w:after="283"/>
        <w:ind w:left="0" w:right="0" w:firstLine="180"/>
        <w:jc w:val="both"/>
        <w:rPr/>
      </w:pPr>
      <w:r>
        <w:rPr>
          <w:color w:val="000000"/>
        </w:rPr>
        <w:t>•</w:t>
      </w:r>
      <w:r>
        <w:rPr>
          <w:rFonts w:ascii="Arial;sans-serif" w:hAnsi="Arial;sans-serif"/>
          <w:b w:val="false"/>
          <w:color w:val="000000"/>
          <w:sz w:val="18"/>
        </w:rPr>
        <w:t>does not reflect the significant interest expense, or the cash requirements, necessary to service our debt.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For additional information on EBITDA and Adjusted EBITDA and a reconciliation to their most directly comparable U.S. GAAP financial measures, see “</w:t>
      </w:r>
      <w:r>
        <w:rPr>
          <w:rFonts w:ascii="Arial;sans-serif" w:hAnsi="Arial;sans-serif"/>
          <w:b w:val="false"/>
          <w:i/>
          <w:color w:val="000000"/>
          <w:sz w:val="18"/>
        </w:rPr>
        <w:t>Results of Operations — EBITDA and Adjusted EBITDA</w:t>
      </w:r>
      <w:r>
        <w:rPr>
          <w:color w:val="000000"/>
        </w:rPr>
        <w:t xml:space="preserve">” </w:t>
      </w:r>
      <w:r>
        <w:rPr>
          <w:rFonts w:ascii="Arial;sans-serif" w:hAnsi="Arial;sans-serif"/>
          <w:b w:val="false"/>
          <w:color w:val="000000"/>
          <w:sz w:val="18"/>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Comparison of Three Months Ended March 31, 2026 to Three Months Ended March 31,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The following table sets forth a summary of our consolidated results of operations for the three months ended March 31, 2026</w:t>
      </w:r>
      <w:r>
        <w:rPr>
          <w:color w:val="000000"/>
        </w:rPr>
        <w:t xml:space="preserve"> </w:t>
      </w:r>
      <w:r>
        <w:rPr>
          <w:rFonts w:ascii="Arial;sans-serif" w:hAnsi="Arial;sans-serif"/>
          <w:b w:val="false"/>
          <w:color w:val="000000"/>
          <w:sz w:val="18"/>
        </w:rPr>
        <w:t>and 2025</w:t>
      </w:r>
      <w:r>
        <w:rPr>
          <w:rFonts w:ascii="Arial;sans-serif" w:hAnsi="Arial;sans-serif"/>
          <w:b/>
          <w:color w:val="000000"/>
          <w:sz w:val="18"/>
        </w:rPr>
        <w:t>.</w:t>
      </w:r>
      <w:r>
        <w:rPr>
          <w:color w:val="000000"/>
        </w:rPr>
        <w:t xml:space="preserve"> </w:t>
      </w:r>
      <w:r>
        <w:rPr>
          <w:rFonts w:ascii="Arial;sans-serif" w:hAnsi="Arial;sans-serif"/>
          <w:b w:val="false"/>
          <w:color w:val="000000"/>
          <w:sz w:val="18"/>
        </w:rPr>
        <w:t>The historical results presented below are not necessarily indicative of the results that may be expected for any future period.</w:t>
      </w:r>
    </w:p>
    <w:tbl>
      <w:tblPr>
        <w:tblW w:w="10205" w:type="dxa"/>
        <w:jc w:val="left"/>
        <w:tblInd w:w="0" w:type="dxa"/>
        <w:tblLayout w:type="fixed"/>
        <w:tblCellMar>
          <w:top w:w="28" w:type="dxa"/>
          <w:left w:w="28" w:type="dxa"/>
          <w:bottom w:w="28" w:type="dxa"/>
          <w:right w:w="28" w:type="dxa"/>
        </w:tblCellMar>
      </w:tblPr>
      <w:tblGrid>
        <w:gridCol w:w="2190"/>
        <w:gridCol w:w="1898"/>
        <w:gridCol w:w="1877"/>
        <w:gridCol w:w="218"/>
        <w:gridCol w:w="857"/>
        <w:gridCol w:w="112"/>
        <w:gridCol w:w="112"/>
        <w:gridCol w:w="112"/>
        <w:gridCol w:w="112"/>
        <w:gridCol w:w="218"/>
        <w:gridCol w:w="857"/>
        <w:gridCol w:w="112"/>
        <w:gridCol w:w="109"/>
        <w:gridCol w:w="109"/>
        <w:gridCol w:w="109"/>
        <w:gridCol w:w="211"/>
        <w:gridCol w:w="721"/>
        <w:gridCol w:w="109"/>
        <w:gridCol w:w="162"/>
      </w:tblGrid>
      <w:tr>
        <w:trPr/>
        <w:tc>
          <w:tcPr>
            <w:tcW w:w="2190"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298,428 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261,476 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247,469 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50,526 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50,959 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income, net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 benefit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 and comprehensive income (loss)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 and comprehensive income (loss) attributable to HF Foods Group Inc.</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sets forth the components of our consolidated results of operations expressed as a percentage of net revenue for the periods indicated:</w:t>
      </w:r>
    </w:p>
    <w:tbl>
      <w:tblPr>
        <w:tblW w:w="10205" w:type="dxa"/>
        <w:jc w:val="left"/>
        <w:tblInd w:w="0" w:type="dxa"/>
        <w:tblLayout w:type="fixed"/>
        <w:tblCellMar>
          <w:top w:w="28" w:type="dxa"/>
          <w:left w:w="28" w:type="dxa"/>
          <w:bottom w:w="28" w:type="dxa"/>
          <w:right w:w="28" w:type="dxa"/>
        </w:tblCellMar>
      </w:tblPr>
      <w:tblGrid>
        <w:gridCol w:w="2575"/>
        <w:gridCol w:w="2258"/>
        <w:gridCol w:w="2271"/>
        <w:gridCol w:w="352"/>
        <w:gridCol w:w="264"/>
        <w:gridCol w:w="553"/>
        <w:gridCol w:w="222"/>
        <w:gridCol w:w="222"/>
        <w:gridCol w:w="222"/>
        <w:gridCol w:w="352"/>
        <w:gridCol w:w="264"/>
        <w:gridCol w:w="650"/>
      </w:tblGrid>
      <w:tr>
        <w:trPr/>
        <w:tc>
          <w:tcPr>
            <w:tcW w:w="2575"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7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7104"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104"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104"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104"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 benefit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 and comprehensive income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 and comprehensive income (loss) attributable to HF Foods Group Inc.</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Net Revenue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Net revenue for the three months ended March 31, 2026 increased by $13.6 million, or 4.5%, compared to the same period in 2025. The increase was primarily due to volume growth and pricing improvement in Seafood followed by volume growth for Commodity.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Gross Profit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Gross profit was $50.5 million for three months ended March 31, 2026 compared to $51.0 million in the same period in 2025, a decrease of $0.4 million, or 0.8%. The decrease was primarily due to increased sales in lower margin products like Seafood and an uptick in landed costs. Gross profit margin for the three months ended March 31, 2026 of 16.2% declined compared to 17.1% in the same period in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Distribution, selling and administrative expenses decreased by $0.3 million, or 0.6%, to $49.5 million, for the three months ended March 31, 2026. Distribution, selling and administrative expenses as a percentage of net revenue decreased to 15.9% for the three months ended March 31, 2026 from 16.7% in the same period in 2025, primarily due to increased net revenue and lower professional fees and bad debt expenses, partially offset by increased depreciation and auto &amp; truck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Interest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Interest expense for the three months ended March 31, 2026 of $2.8 million increased slightly compared to $2.6 million for the three months ended March 31, 2025. Average floating interest rates on our floating-rate debt for the three months ended March 31, 2026 decreased by approximately 0.6% on our line of credit and 0.6% on the JPMorgan Chase mortgage-secured term loan, compared to the same period in 2025. Our average daily line of credit balance increased by $8.0 million, or 16.4%, to $56.7 million for the three months ended March 31, 2026 from $48.7 million for the three months ended March 31, 2025, and our average daily JPMorgan Chase mortgage-secured term loan balance decreased by $6.7 million, or 6.7%, to $93.7 million for the three months ended March 31, 2026 from $100.4 million for the three months ended March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Income Tax Benefit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Income tax benefit was $0.4 million for the three months ended March 31, 2026, compared to an income tax benefit of $0.9 million for the three months ended March 31, 2025, primarily due to an increase in income before income taxes, partially offset by investment tax credits.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Net Income Attributable to HF Foods Group,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Net income attributable to HF Foods Group, Inc. was $1.2 million for the three months ended March 31, 2026, compared to net loss of $1.6 million for the three months ended March 31, 2025. The improvement was primarily driven by gain on sale of Utah building and positive change in fair value of interest rate swap contracts by $2.0 million compared to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EBITDA and Adjusted EBITDA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reconciles EBITDA and Adjusted EBITDA to the most directly comparable GAAP measure:</w:t>
      </w:r>
    </w:p>
    <w:tbl>
      <w:tblPr>
        <w:tblW w:w="9098" w:type="dxa"/>
        <w:jc w:val="left"/>
        <w:tblInd w:w="0" w:type="dxa"/>
        <w:tblLayout w:type="fixed"/>
        <w:tblCellMar>
          <w:top w:w="28" w:type="dxa"/>
          <w:left w:w="28" w:type="dxa"/>
          <w:bottom w:w="28" w:type="dxa"/>
          <w:right w:w="28" w:type="dxa"/>
        </w:tblCellMar>
      </w:tblPr>
      <w:tblGrid>
        <w:gridCol w:w="1537"/>
        <w:gridCol w:w="1353"/>
        <w:gridCol w:w="1355"/>
        <w:gridCol w:w="109"/>
        <w:gridCol w:w="109"/>
        <w:gridCol w:w="109"/>
        <w:gridCol w:w="488"/>
        <w:gridCol w:w="337"/>
        <w:gridCol w:w="339"/>
        <w:gridCol w:w="252"/>
        <w:gridCol w:w="252"/>
        <w:gridCol w:w="252"/>
        <w:gridCol w:w="488"/>
        <w:gridCol w:w="344"/>
        <w:gridCol w:w="346"/>
        <w:gridCol w:w="109"/>
        <w:gridCol w:w="109"/>
        <w:gridCol w:w="109"/>
        <w:gridCol w:w="376"/>
        <w:gridCol w:w="284"/>
        <w:gridCol w:w="287"/>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7,521</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11,292</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Business transformation costs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Other non-routine (income) expense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Executive transition and organizational redesign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10,146</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_________________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    Represents costs associated with the launch and continued implementation of strategic projects including supply chain management improvements and technology infrastructure initiatives. </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(2)    Includes the gain recognized on the sale of the Utah facility in 2026 and legal and consulting expenses incurred in connection with various corporate projects and other strategic initiatives. </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(3)    Includes severance and related expenses for the Company’s transition of executive officers and organizational redesign.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Liquidity and 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March 31, 2026, we had cash of approximately $11.1 million, checks issued not presented for payment of $5.0 million and access to approximately $55.2 million in additional funds through our $125.0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March 31,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are party to an amortizing interest rate swap contract with JPMorgan Chase for an initial notional amount of $120.0 million, expiring in March 2028, as a means to partially hedge our existing floating rate loans exposure. Pursuant to the agreement, we will pay the swap counterparty a fixed rate of 4.11% in exchange for floating payments based on CME Term SOFR.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Management believes we have sufficient access to funds to meet our working capital requirements and debt obligations in the next twelve months. However, there are a number of factors that could potentially arise which might result in shortfalls in anticipated cash flow, such as the demand for our products, economic conditions,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capital investment plans, liquidating assets, obtaining additional debt or equity capital, or refinancing all or a portion of our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March 31, 2026, we have no off-balance sheet arrangements that currently have or are reasonably likely to have a material effect on our consolidated financial position, changes in financial condition, results of operations, liquidity, capital expenditures or 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summarizes cash flow data for the three months ended March 31, 2026 and 2025:</w:t>
      </w:r>
    </w:p>
    <w:tbl>
      <w:tblPr>
        <w:tblW w:w="7726" w:type="dxa"/>
        <w:jc w:val="left"/>
        <w:tblInd w:w="0" w:type="dxa"/>
        <w:tblLayout w:type="fixed"/>
        <w:tblCellMar>
          <w:top w:w="28" w:type="dxa"/>
          <w:left w:w="28" w:type="dxa"/>
          <w:bottom w:w="28" w:type="dxa"/>
          <w:right w:w="28" w:type="dxa"/>
        </w:tblCellMar>
      </w:tblPr>
      <w:tblGrid>
        <w:gridCol w:w="1290"/>
        <w:gridCol w:w="1138"/>
        <w:gridCol w:w="1141"/>
        <w:gridCol w:w="251"/>
        <w:gridCol w:w="859"/>
        <w:gridCol w:w="129"/>
        <w:gridCol w:w="129"/>
        <w:gridCol w:w="129"/>
        <w:gridCol w:w="129"/>
        <w:gridCol w:w="251"/>
        <w:gridCol w:w="734"/>
        <w:gridCol w:w="129"/>
        <w:gridCol w:w="109"/>
        <w:gridCol w:w="109"/>
        <w:gridCol w:w="109"/>
        <w:gridCol w:w="211"/>
        <w:gridCol w:w="616"/>
        <w:gridCol w:w="109"/>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increase in cash and cash equivalents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Net cash provided by operating activities consists primarily of net income (loss) adjusted for non-cash items, including depreciation and amortization, changes in deferred income taxes and others, and includes the effect of working capital changes. Net cash provided by operating activities increased by $8.3 million primarily due to an increase in non-cash expense add-backs and increases in accounts payable balances, offset by the timing of working capital outlays mainly for inventory purchases and increases in our accounts receivable balances.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Investing Activities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Net cash used in investing activities increased by $7.6 million primarily due to increased capital project spend in the three months ended March 31, 2026, partially offset by proceeds from the sale of the Utah property (see </w:t>
      </w:r>
      <w:r>
        <w:rPr>
          <w:rFonts w:ascii="Arial;sans-serif" w:hAnsi="Arial;sans-serif"/>
          <w:b w:val="false"/>
          <w:i/>
          <w:color w:val="000000"/>
          <w:sz w:val="18"/>
        </w:rPr>
        <w:t>Note 4 - Balance Sheet Components</w:t>
      </w:r>
      <w:r>
        <w:rPr>
          <w:color w:val="000000"/>
        </w:rPr>
        <w:t xml:space="preserve"> </w:t>
      </w:r>
      <w:r>
        <w:rPr>
          <w:rFonts w:ascii="Arial;sans-serif" w:hAnsi="Arial;sans-serif"/>
          <w:b w:val="false"/>
          <w:color w:val="000000"/>
          <w:sz w:val="18"/>
        </w:rPr>
        <w:t>for additional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Financing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Net cash used in financing activities remained relatively consistent at $1.7 million during the three months ended March 31, 2026 primarily due to the higher overall net proceeds from line of credit activity, offset by overall lower interest rates as compared to the three months ended March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have prepared the financial information in this Quarterly Report in accordance with GAAP. Preparing our condensed consolidated financial statements requires us to make estimates and assumptions that affect the reported amounts of assets and liabilities, the disclosure of contingent assets and liabilities at the date of the financial statements, and the reported amounts of revenues and expenses during these reporting periods. We base our estimates and judgments on historical experience and other factors we believe are reasonable under the circumstances. These assumptions form the basis for making judgments about the carrying value of assets and liabilities that are not readily apparent from other sources. Part II, Item 7 — “Management’s Discussion and Analysis of Financial Condition and Results of Operations” of the 2025 Annual Report includes a summary of the critical accounting policies and estimates we believe are the most important to aid in understanding our financial results. There have been no changes to those critical accounting policies and estimates that have had a material impact on our reported amounts of assets, liabilities, revenue, or expenses during the three months ended March 31, 2026. </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18"/>
          <w:u w:val="single"/>
        </w:rPr>
      </w:pPr>
      <w:r>
        <w:rPr>
          <w:rFonts w:ascii="Arial;sans-serif" w:hAnsi="Arial;sans-serif"/>
          <w:b/>
          <w:color w:val="000000"/>
          <w:sz w:val="18"/>
          <w:u w:val="single"/>
        </w:rPr>
        <w:t>Recent Accounting Pronouncements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For a discussion of recent accounting pronouncements, see </w:t>
      </w:r>
      <w:r>
        <w:rPr>
          <w:rFonts w:ascii="Arial;sans-serif" w:hAnsi="Arial;sans-serif"/>
          <w:b w:val="false"/>
          <w:i/>
          <w:color w:val="000000"/>
          <w:sz w:val="18"/>
        </w:rPr>
        <w:t>Note 2 - Summary of Significant Accounting Policies</w:t>
      </w:r>
      <w:r>
        <w:rPr>
          <w:color w:val="000000"/>
        </w:rPr>
        <w:t xml:space="preserve"> </w:t>
      </w:r>
      <w:r>
        <w:rPr>
          <w:rFonts w:ascii="Arial;sans-serif" w:hAnsi="Arial;sans-serif"/>
          <w:b w:val="false"/>
          <w:color w:val="000000"/>
          <w:sz w:val="18"/>
        </w:rPr>
        <w:t>to the condensed consolidated financial statements in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Interest Rate Risk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four interest rate swap contracts to hedge the floating rate term loans. See </w:t>
      </w:r>
      <w:r>
        <w:rPr>
          <w:rFonts w:ascii="Arial;sans-serif" w:hAnsi="Arial;sans-serif"/>
          <w:b w:val="false"/>
          <w:i/>
          <w:color w:val="000000"/>
          <w:sz w:val="18"/>
        </w:rPr>
        <w:t xml:space="preserve">Note 7 - Derivative Financial Instruments </w:t>
      </w:r>
      <w:r>
        <w:rPr>
          <w:rFonts w:ascii="Arial;sans-serif" w:hAnsi="Arial;sans-serif"/>
          <w:b w:val="false"/>
          <w:color w:val="000000"/>
          <w:sz w:val="18"/>
        </w:rPr>
        <w:t>to the consolidated financial statements in in this Quarterly Report on Form 10-Q for additional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As of March 31, 2026, our aggregate floating rate debt’s outstanding principal balance without hedging was $63.8 million, or 39.2% of total debt, consisting primarily of our revolving line of credit (see </w:t>
      </w:r>
      <w:r>
        <w:rPr>
          <w:rFonts w:ascii="Arial;sans-serif" w:hAnsi="Arial;sans-serif"/>
          <w:b w:val="false"/>
          <w:i/>
          <w:color w:val="000000"/>
          <w:sz w:val="18"/>
        </w:rPr>
        <w:t>Note 8 - Long-Term Debt</w:t>
      </w:r>
      <w:r>
        <w:rPr>
          <w:color w:val="000000"/>
        </w:rPr>
        <w:t xml:space="preserve"> </w:t>
      </w:r>
      <w:r>
        <w:rPr>
          <w:rFonts w:ascii="Arial;sans-serif" w:hAnsi="Arial;sans-serif"/>
          <w:b w:val="false"/>
          <w:color w:val="000000"/>
          <w:sz w:val="18"/>
        </w:rPr>
        <w:t>to the consolidated financial statements in this Quarterly Report on Form 10-Q). Our floating rate debt interest is based on the floating 1-month SOFR plus a predetermined credit adjustment rate plus the bank spread. The remaining 60.7% of our debt is on a fixed rate or a floating rate with hedging. In a hypothetical scenario, a 1% change in the applicable rate would cause the interest expense on our floating rate debt to change by approximately $0.6 million per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Fuel Price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Additionally, elevated fuel costs can negatively impact consumer confidence and discretionary spending and thus reduce the frequency and amount spent by consumers for food-away-from-home purchases. We currently are able to obtain adequate supplies of diesel fuel, however, an inability to procure sufficient quantities of fuel or a significant increase in the price of fuel could have a material adverse impact on our financial performance. Average fuel prices for 2026 increased 13.6% in comparison to average prices in 2025.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do not actively hedge the price fluctuation of diesel fuel in general. Instead, we seek to minimize fuel cost risk through delivery route optimization and fleet utilization improvement.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4.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management, including our principal executive officer and principal financial and accounting officer, conducted an evaluation of the effectiveness of our disclosure controls and procedures, as such term is defined in Rules 13a-15(e) and 15d-15(e) under the Exchange Act, as of March 31, 2026. Based on that evaluation, our principal executive officer and principal financial and accounting officer concluded that, due to the material weaknesses in internal control over financial reporting described below, our disclosure controls and procedures were not effective at the reasonable assurance level as of March 31,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Notwithstanding the material weaknesses, management has concluded that the consolidated financial statements included in this Quarterly Report on Form 10-Q present fairly, in all material respects, the Company’s financial position, results of operations and cash flows in conformity with U.S. GAAP.</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Previously Reported Material Weaknesses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previously disclosed in our 2025 Annual Report, management identified material weaknesses in internal control over financial reporting related to entity-level controls impacting the control activities and monitoring components of the COSO framework. These entity-level deficiencies resulted in the following material weaknesses over certain aspects of financial reporting, including controls related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recording of revenue and accounts receivable;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review of journal entries;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accounting for new leases;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impairment analysis of long-lived assets, including the review of underlying data and assumptions for completeness and accuracy.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material weaknesses continued to exist as of March 31, 2026.</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Remediation Activities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first quarter of 2026, management continued executing its remediation plan under the oversight of the Audit Committee of the Board of Directors. The Company’s remediation efforts are focused on strengthening accounting-related controls, improving review precision, enhancing evidence of review, and validating the completeness and accuracy of key data used in control execution.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Management’s remediation efforts during 2026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Strengthening controls over revenue recognition and accounts receivable, including invoice validation, reconciliation procedures, and monitoring of revenue transactions;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enhancing controls over lease accounting and long-lived asset impairment assessments, including review of key inputs, assumptions, and supporting data;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improving the precision and consistency of journal entry review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Management believes these actions are designed to improve the effectiveness of internal control over financial reporting. However, the material weaknesses will not be considered remediated until the applicable controls have been designed, implemented and operated effectively for a sufficient period of time, and management has completed testing to support that conclusion.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Changes in Internal Controls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Other than the ongoing remediation activities described above, 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     Legal Proceedings.</w:t>
      </w:r>
    </w:p>
    <w:p>
      <w:pPr>
        <w:pStyle w:val="TextBody"/>
        <w:bidi w:val="0"/>
        <w:spacing w:lineRule="auto" w:line="288" w:before="120" w:after="283"/>
        <w:jc w:val="both"/>
        <w:rPr/>
      </w:pPr>
      <w:r>
        <w:rPr>
          <w:rFonts w:ascii="Arial;sans-serif" w:hAnsi="Arial;sans-serif"/>
          <w:b w:val="false"/>
          <w:color w:val="000000"/>
          <w:sz w:val="18"/>
        </w:rPr>
        <w:t xml:space="preserve">From time to time, we are a party to various lawsuits, claims and other legal proceedings that arise in the ordinary course of business. With respect to our outstanding legal matters, we believe that the amount or estimable range of reasonably possible loss will not, either individually or in the aggregate, have a material adverse effect on our business, consolidated financial position, results of operations, or cash flows. For information relating to legal proceedings, see </w:t>
      </w:r>
      <w:r>
        <w:rPr>
          <w:rFonts w:ascii="Arial;sans-serif" w:hAnsi="Arial;sans-serif"/>
          <w:b w:val="false"/>
          <w:i/>
          <w:color w:val="000000"/>
          <w:sz w:val="18"/>
        </w:rPr>
        <w:t>Note 15 - Commitments and Contingencies</w:t>
      </w:r>
      <w:r>
        <w:rPr>
          <w:color w:val="000000"/>
        </w:rPr>
        <w:t xml:space="preserve"> </w:t>
      </w:r>
      <w:r>
        <w:rPr>
          <w:rFonts w:ascii="Arial;sans-serif" w:hAnsi="Arial;sans-serif"/>
          <w:b w:val="false"/>
          <w:color w:val="000000"/>
          <w:sz w:val="18"/>
        </w:rPr>
        <w:t>to our condensed consolidated financial statements.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1A.     Risk Factors.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have been no material changes from the risk factors disclosed in Item 1A of our 2025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2.    Unregistered Sales of Equity Securities and Use of Proceeds from Registered Securities.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3.    Defaults Upon Senior Securities.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4.    Mine Safety Disclosures.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Arial;sans-serif" w:hAnsi="Arial;sans-serif"/>
          <w:b/>
          <w:color w:val="000000"/>
          <w:sz w:val="18"/>
        </w:rPr>
      </w:pPr>
      <w:r>
        <w:rPr>
          <w:rFonts w:ascii="Arial;sans-serif" w:hAnsi="Arial;sans-serif"/>
          <w:b/>
          <w:color w:val="000000"/>
          <w:sz w:val="18"/>
        </w:rPr>
        <w:t>ITEM 5.    Other Information.</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Securities Trading Plans of Directors and Executive Officers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During the quarter ended March 31, 2026, none of our officers or directors adopted or terminated a “Rule 10b5-1 trading arrangement” or “non-Rule 10b5-1 trading arrangement,” as each term is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6.    Exhibits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exhibits are incorporated herein by reference or are filed or furnished with this report as indicated below:</w:t>
      </w:r>
    </w:p>
    <w:tbl>
      <w:tblPr>
        <w:tblW w:w="10205" w:type="dxa"/>
        <w:jc w:val="left"/>
        <w:tblInd w:w="0" w:type="dxa"/>
        <w:tblLayout w:type="fixed"/>
        <w:tblCellMar>
          <w:top w:w="28" w:type="dxa"/>
          <w:left w:w="28" w:type="dxa"/>
          <w:bottom w:w="28" w:type="dxa"/>
          <w:right w:w="28" w:type="dxa"/>
        </w:tblCellMar>
      </w:tblPr>
      <w:tblGrid>
        <w:gridCol w:w="368"/>
        <w:gridCol w:w="323"/>
        <w:gridCol w:w="324"/>
        <w:gridCol w:w="109"/>
        <w:gridCol w:w="109"/>
        <w:gridCol w:w="109"/>
        <w:gridCol w:w="1966"/>
        <w:gridCol w:w="1785"/>
        <w:gridCol w:w="1802"/>
        <w:gridCol w:w="109"/>
        <w:gridCol w:w="109"/>
        <w:gridCol w:w="109"/>
        <w:gridCol w:w="200"/>
        <w:gridCol w:w="200"/>
        <w:gridCol w:w="201"/>
        <w:gridCol w:w="128"/>
        <w:gridCol w:w="128"/>
        <w:gridCol w:w="128"/>
        <w:gridCol w:w="255"/>
        <w:gridCol w:w="255"/>
        <w:gridCol w:w="256"/>
        <w:gridCol w:w="128"/>
        <w:gridCol w:w="128"/>
        <w:gridCol w:w="128"/>
        <w:gridCol w:w="246"/>
        <w:gridCol w:w="246"/>
        <w:gridCol w:w="356"/>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Incorporated by Reference</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Form</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Exhibit</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Filing Date</w:t>
            </w:r>
          </w:p>
        </w:tc>
      </w:tr>
      <w:tr>
        <w:trPr/>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Second 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11/5/2019</w:t>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Amended and Restated Bylaws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11/4/2022</w:t>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First Amendment to Amended and Restated Bylaws, dated April 25,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4/26/2023</w:t>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20"/>
                  <w:u w:val="single"/>
                </w:rPr>
                <w:t>Certificate of Designation of Rights, Preferences and Privileges of Series A Participating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4/12/2023</w:t>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20"/>
                  <w:u w:val="single"/>
                </w:rPr>
                <w:t>Specimen Common Stock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7/28/2017</w:t>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20"/>
                  <w:u w:val="single"/>
                </w:rPr>
                <w:t>4.2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20"/>
                  <w:u w:val="single"/>
                </w:rPr>
                <w:t>Form of Unit Purchase Option between the Registrant and Chardan Capital Markets,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7/28/2017</w:t>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20"/>
                  <w:u w:val="single"/>
                </w:rPr>
                <w:t>Amended Letter Agreement, dated February 2, 2026, between HF Foods Group Inc. and Paul McGarry.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2/2/2026</w:t>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20"/>
                  <w:u w:val="single"/>
                </w:rPr>
                <w:t>Amended Severance Plan, effective January 27, 2026.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2/2/2026</w:t>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20"/>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20"/>
                  <w:u w:val="single"/>
                </w:rPr>
                <w:t>Form Key Employee Letter Agreement for the Amended Severance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2/2/2026</w:t>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20"/>
                  <w:u w:val="single"/>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20"/>
                  <w:u w:val="single"/>
                </w:rPr>
                <w:t>Joinder and Amendment No. 5 to the Third Amended and Restated Credit Agreement, dated as of March 30, 2026</w:t>
              </w:r>
            </w:hyperlink>
            <w:r>
              <w:rPr>
                <w:color w:val="000000"/>
              </w:rPr>
              <w:t>†</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8-K</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4/3/2026</w:t>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1q-ex311.htm">
              <w:r>
                <w:rPr>
                  <w:rStyle w:val="InternetLink"/>
                  <w:rFonts w:ascii="Arial;sans-serif" w:hAnsi="Arial;sans-serif"/>
                  <w:b w:val="false"/>
                  <w:color w:val="0000FF"/>
                  <w:sz w:val="20"/>
                  <w:u w:val="single"/>
                </w:rPr>
                <w:t>31.1</w:t>
              </w:r>
            </w:hyperlink>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1q-ex311.htm">
              <w:r>
                <w:rPr>
                  <w:rStyle w:val="InternetLink"/>
                  <w:rFonts w:ascii="Arial;sans-serif" w:hAnsi="Arial;sans-serif"/>
                  <w:b w:val="false"/>
                  <w:color w:val="0000FF"/>
                  <w:sz w:val="20"/>
                  <w:u w:val="single"/>
                </w:rPr>
                <w:t>Certification of Chief Executive Officer pursuant to Rule 13a-14 and Rule 15d-14(a), promulgated under the Securities and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1q-ex312.htm">
              <w:r>
                <w:rPr>
                  <w:rStyle w:val="InternetLink"/>
                  <w:rFonts w:ascii="Arial;sans-serif" w:hAnsi="Arial;sans-serif"/>
                  <w:b w:val="false"/>
                  <w:color w:val="0000FF"/>
                  <w:sz w:val="20"/>
                  <w:u w:val="single"/>
                </w:rPr>
                <w:t>31.2</w:t>
              </w:r>
            </w:hyperlink>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1q-ex312.htm">
              <w:r>
                <w:rPr>
                  <w:rStyle w:val="InternetLink"/>
                  <w:rFonts w:ascii="Arial;sans-serif" w:hAnsi="Arial;sans-serif"/>
                  <w:b w:val="false"/>
                  <w:color w:val="0000FF"/>
                  <w:sz w:val="20"/>
                  <w:u w:val="single"/>
                </w:rPr>
                <w:t>Certification of Chief Financial Officer pursuant to Rule 13a-14 and Rule 15d-14(a), promulgated under the Securities and Exchange Act of 1934,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1q-ex321.htm">
              <w:r>
                <w:rPr>
                  <w:rStyle w:val="InternetLink"/>
                  <w:rFonts w:ascii="Arial;sans-serif" w:hAnsi="Arial;sans-serif"/>
                  <w:b w:val="false"/>
                  <w:color w:val="0000FF"/>
                  <w:sz w:val="20"/>
                  <w:u w:val="single"/>
                </w:rPr>
                <w:t>32.1</w:t>
              </w:r>
            </w:hyperlink>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1q-ex321.htm">
              <w:r>
                <w:rPr>
                  <w:rStyle w:val="InternetLink"/>
                  <w:rFonts w:ascii="Arial;sans-serif" w:hAnsi="Arial;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1q-ex322.htm">
              <w:r>
                <w:rPr>
                  <w:rStyle w:val="InternetLink"/>
                  <w:rFonts w:ascii="Arial;sans-serif" w:hAnsi="Arial;sans-serif"/>
                  <w:b w:val="false"/>
                  <w:color w:val="0000FF"/>
                  <w:sz w:val="20"/>
                  <w:u w:val="single"/>
                </w:rPr>
                <w:t>32.2</w:t>
              </w:r>
            </w:hyperlink>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1q-ex322.htm">
              <w:r>
                <w:rPr>
                  <w:rStyle w:val="InternetLink"/>
                  <w:rFonts w:ascii="Arial;sans-serif" w:hAnsi="Arial;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612"/>
        <w:gridCol w:w="1612"/>
        <w:gridCol w:w="1612"/>
        <w:gridCol w:w="1612"/>
        <w:gridCol w:w="1612"/>
        <w:gridCol w:w="1645"/>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7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Certain portions of this exhibit have been omitted in accordance with Regulation S-K Item 601(b)(10)(iv) because they are both (i) not material to investors and (ii) the type of information that the Company customarily and actually treats as private or confidential, and have been marked with ‘‘[***]’’ to indicate where omissions have been made. The Company agrees to furnish supplementally an unredacted copy of the exhibit to the SEC upon its request.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Schedules and similar attachments have been omitted pursuant to Item 601(b)(5)of Regulation S-K. The Company hereby undertakes to furnish copies of any of the omitted schedules upon request by the SEC; provided, however, that the Company may request confidential treatment pursuant to Rule 24b-2 of the Exchange Act for any schedules so furnished.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Filed herewith.</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 xml:space="preserve">This certification is being furnished and shall not be deemed “filed” with the SEC for purposes of Section 18 of the Exchange Act, or otherwise subject to the liability of that section, and shall not be deemed to be incorporated by reference into any filing under the Securities Act or the Exchange Act, except to the extent that the Registrant specifically incorporates it by reference. </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36" w:type="dxa"/>
            <w:gridSpan w:val="3"/>
            <w:tcBorders/>
            <w:vAlign w:val="center"/>
          </w:tcPr>
          <w:p>
            <w:pPr>
              <w:pStyle w:val="TableContents"/>
              <w:bidi w:val="0"/>
              <w:spacing w:before="0" w:after="283"/>
              <w:jc w:val="left"/>
              <w:rPr>
                <w:sz w:val="4"/>
                <w:szCs w:val="4"/>
              </w:rPr>
            </w:pPr>
            <w:r>
              <w:rPr>
                <w:sz w:val="4"/>
                <w:szCs w:val="4"/>
              </w:rPr>
            </w:r>
          </w:p>
        </w:tc>
        <w:tc>
          <w:tcPr>
            <w:tcW w:w="4869" w:type="dxa"/>
            <w:gridSpan w:val="3"/>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tbl>
      <w:tblPr>
        <w:tblW w:w="5384" w:type="dxa"/>
        <w:jc w:val="left"/>
        <w:tblInd w:w="0" w:type="dxa"/>
        <w:tblLayout w:type="fixed"/>
        <w:tblCellMar>
          <w:top w:w="28" w:type="dxa"/>
          <w:left w:w="28" w:type="dxa"/>
          <w:bottom w:w="28" w:type="dxa"/>
          <w:right w:w="28" w:type="dxa"/>
        </w:tblCellMar>
      </w:tblPr>
      <w:tblGrid>
        <w:gridCol w:w="618"/>
        <w:gridCol w:w="544"/>
        <w:gridCol w:w="547"/>
        <w:gridCol w:w="1073"/>
        <w:gridCol w:w="1073"/>
        <w:gridCol w:w="152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HF Foods Group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 /s/ Felix Lin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Felix Lin</w:t>
              <w:br/>
              <w:t>President and Chief Executive Officer</w:t>
              <w:b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 /s/ Paul McGarry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Paul McGarry</w:t>
              <w:br/>
              <w:t>Chief Financial Officer</w:t>
              <w:br/>
              <w:t>(Principal Accounting and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 May 11, 2026</w:t>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Felix Lin, certify that: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HF Foods Group Inc.;</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669" w:type="dxa"/>
        <w:jc w:val="left"/>
        <w:tblInd w:w="0" w:type="dxa"/>
        <w:tblLayout w:type="fixed"/>
        <w:tblCellMar>
          <w:top w:w="28" w:type="dxa"/>
          <w:left w:w="28" w:type="dxa"/>
          <w:bottom w:w="28" w:type="dxa"/>
          <w:right w:w="28" w:type="dxa"/>
        </w:tblCellMar>
      </w:tblPr>
      <w:tblGrid>
        <w:gridCol w:w="662"/>
        <w:gridCol w:w="581"/>
        <w:gridCol w:w="587"/>
        <w:gridCol w:w="134"/>
        <w:gridCol w:w="134"/>
        <w:gridCol w:w="136"/>
        <w:gridCol w:w="998"/>
        <w:gridCol w:w="998"/>
        <w:gridCol w:w="1439"/>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Felix Lin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Felix Lin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Paul McGarry, certify that: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HF Foods Group Inc.;</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4319" w:type="dxa"/>
        <w:jc w:val="left"/>
        <w:tblInd w:w="0" w:type="dxa"/>
        <w:tblLayout w:type="fixed"/>
        <w:tblCellMar>
          <w:top w:w="28" w:type="dxa"/>
          <w:left w:w="28" w:type="dxa"/>
          <w:bottom w:w="28" w:type="dxa"/>
          <w:right w:w="28" w:type="dxa"/>
        </w:tblCellMar>
      </w:tblPr>
      <w:tblGrid>
        <w:gridCol w:w="662"/>
        <w:gridCol w:w="581"/>
        <w:gridCol w:w="587"/>
        <w:gridCol w:w="134"/>
        <w:gridCol w:w="134"/>
        <w:gridCol w:w="136"/>
        <w:gridCol w:w="611"/>
        <w:gridCol w:w="611"/>
        <w:gridCol w:w="863"/>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Paul McGarry</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Paul McGarry</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Section 1350 Certification of Chief Executive Officer</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HF Foods Group Inc. (the “Company”) for the annual period ended March 31, 2026 as filed with the Securities and Exchange Commission on the date hereof (the “Report”), I, Felix Lin, President and Chief Executive Officer of the Company,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tbl>
      <w:tblPr>
        <w:tblW w:w="5669" w:type="dxa"/>
        <w:jc w:val="left"/>
        <w:tblInd w:w="0" w:type="dxa"/>
        <w:tblLayout w:type="fixed"/>
        <w:tblCellMar>
          <w:top w:w="28" w:type="dxa"/>
          <w:left w:w="28" w:type="dxa"/>
          <w:bottom w:w="28" w:type="dxa"/>
          <w:right w:w="28" w:type="dxa"/>
        </w:tblCellMar>
      </w:tblPr>
      <w:tblGrid>
        <w:gridCol w:w="662"/>
        <w:gridCol w:w="581"/>
        <w:gridCol w:w="587"/>
        <w:gridCol w:w="134"/>
        <w:gridCol w:w="134"/>
        <w:gridCol w:w="136"/>
        <w:gridCol w:w="998"/>
        <w:gridCol w:w="998"/>
        <w:gridCol w:w="1439"/>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Felix Lin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Felix Lin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Section 1350 Certification of Chief Financial Officer</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HF Foods Group Inc. (the “Company”) for the annual period ended March 31, 2026 as filed with the Securities and Exchange Commission on the date hereof (the “Report”), I, Paul McGarry, Chief Financial Officer,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tbl>
      <w:tblPr>
        <w:tblW w:w="4319" w:type="dxa"/>
        <w:jc w:val="left"/>
        <w:tblInd w:w="0" w:type="dxa"/>
        <w:tblLayout w:type="fixed"/>
        <w:tblCellMar>
          <w:top w:w="28" w:type="dxa"/>
          <w:left w:w="28" w:type="dxa"/>
          <w:bottom w:w="28" w:type="dxa"/>
          <w:right w:w="28" w:type="dxa"/>
        </w:tblCellMar>
      </w:tblPr>
      <w:tblGrid>
        <w:gridCol w:w="662"/>
        <w:gridCol w:w="581"/>
        <w:gridCol w:w="587"/>
        <w:gridCol w:w="134"/>
        <w:gridCol w:w="134"/>
        <w:gridCol w:w="136"/>
        <w:gridCol w:w="611"/>
        <w:gridCol w:w="611"/>
        <w:gridCol w:w="863"/>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Paul McGarry</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Paul McGarry</w:t>
              <w:b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80873/000143774919021487/ex_162902.htm" TargetMode="External"/><Relationship Id="rId4" Type="http://schemas.openxmlformats.org/officeDocument/2006/relationships/hyperlink" Target="https://www.sec.gov/Archives/edgar/data/1680873/000143774919021487/ex_162902.htm" TargetMode="External"/><Relationship Id="rId5" Type="http://schemas.openxmlformats.org/officeDocument/2006/relationships/hyperlink" Target="https://www.sec.gov/Archives/edgar/data/1680873/000168087322000056/ex302-arbylawsxnovember2022.htm" TargetMode="External"/><Relationship Id="rId6" Type="http://schemas.openxmlformats.org/officeDocument/2006/relationships/hyperlink" Target="https://www.sec.gov/Archives/edgar/data/1680873/000168087322000056/ex302-arbylawsxnovember2022.htm" TargetMode="External"/><Relationship Id="rId7" Type="http://schemas.openxmlformats.org/officeDocument/2006/relationships/hyperlink" Target="https://www.sec.gov/Archives/edgar/data/1680873/000168087323000016/exhibit31-bylawamendment.htm" TargetMode="External"/><Relationship Id="rId8" Type="http://schemas.openxmlformats.org/officeDocument/2006/relationships/hyperlink" Target="https://www.sec.gov/Archives/edgar/data/1680873/000168087323000016/exhibit31-bylawamendment.htm" TargetMode="External"/><Relationship Id="rId9" Type="http://schemas.openxmlformats.org/officeDocument/2006/relationships/hyperlink" Target="https://www.sec.gov/Archives/edgar/data/1680873/000119312523098200/d425223dex31.htm" TargetMode="External"/><Relationship Id="rId10" Type="http://schemas.openxmlformats.org/officeDocument/2006/relationships/hyperlink" Target="https://www.sec.gov/Archives/edgar/data/1680873/000119312523098200/d425223dex31.htm" TargetMode="External"/><Relationship Id="rId11" Type="http://schemas.openxmlformats.org/officeDocument/2006/relationships/hyperlink" Target="https://www.sec.gov/Archives/edgar/data/1680873/000161577417003872/s106920_ex4-2.htm" TargetMode="External"/><Relationship Id="rId12" Type="http://schemas.openxmlformats.org/officeDocument/2006/relationships/hyperlink" Target="https://www.sec.gov/Archives/edgar/data/1680873/000161577417003872/s106920_ex4-2.htm" TargetMode="External"/><Relationship Id="rId13" Type="http://schemas.openxmlformats.org/officeDocument/2006/relationships/hyperlink" Target="https://www.sec.gov/Archives/edgar/data/1680873/000161577417003872/s106920_ex4-5.htm" TargetMode="External"/><Relationship Id="rId14" Type="http://schemas.openxmlformats.org/officeDocument/2006/relationships/hyperlink" Target="https://www.sec.gov/Archives/edgar/data/1680873/000161577417003872/s106920_ex4-5.htm" TargetMode="External"/><Relationship Id="rId15" Type="http://schemas.openxmlformats.org/officeDocument/2006/relationships/hyperlink" Target="https://www.sec.gov/Archives/edgar/data/1680873/000168087326000006/a101paulmcgarryletteragree.htm" TargetMode="External"/><Relationship Id="rId16" Type="http://schemas.openxmlformats.org/officeDocument/2006/relationships/hyperlink" Target="https://www.sec.gov/Archives/edgar/data/1680873/000168087326000006/a101paulmcgarryletteragree.htm" TargetMode="External"/><Relationship Id="rId17" Type="http://schemas.openxmlformats.org/officeDocument/2006/relationships/hyperlink" Target="https://www.sec.gov/Archives/edgar/data/1680873/000168087326000006/a102-amendedandrestatedsev.htm" TargetMode="External"/><Relationship Id="rId18" Type="http://schemas.openxmlformats.org/officeDocument/2006/relationships/hyperlink" Target="https://www.sec.gov/Archives/edgar/data/1680873/000168087326000006/a102-amendedandrestatedsev.htm" TargetMode="External"/><Relationship Id="rId19" Type="http://schemas.openxmlformats.org/officeDocument/2006/relationships/hyperlink" Target="https://www.sec.gov/Archives/edgar/data/1680873/000168087326000006/a1032026templateletteragre.htm" TargetMode="External"/><Relationship Id="rId20" Type="http://schemas.openxmlformats.org/officeDocument/2006/relationships/hyperlink" Target="https://www.sec.gov/Archives/edgar/data/1680873/000168087326000006/a1032026templateletteragre.htm" TargetMode="External"/><Relationship Id="rId21" Type="http://schemas.openxmlformats.org/officeDocument/2006/relationships/hyperlink" Target="https://www.sec.gov/Archives/edgar/data/1680873/000168087326000018/exhibit101-hffoodsxamend.htm" TargetMode="External"/><Relationship Id="rId22" Type="http://schemas.openxmlformats.org/officeDocument/2006/relationships/hyperlink" Target="https://www.sec.gov/Archives/edgar/data/1680873/000168087326000018/exhibit101-hffoodsxamend.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14509</Words>
  <Characters>80262</Characters>
  <CharactersWithSpaces>93550</CharactersWithSpaces>
  <Paragraphs>1954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