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2"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w:t>
      </w:r>
    </w:p>
    <w:p>
      <w:pPr>
        <w:spacing w:after="0" w:line="1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(Mark one)</w:t>
      </w:r>
    </w:p>
    <w:p>
      <w:pPr>
        <w:spacing w:after="0" w:line="201" w:lineRule="exact"/>
        <w:rPr>
          <w:sz w:val="24"/>
          <w:szCs w:val="24"/>
          <w:color w:val="auto"/>
        </w:rPr>
      </w:pPr>
    </w:p>
    <w:p>
      <w:pPr>
        <w:jc w:val="center"/>
        <w:ind w:left="3820" w:right="940" w:hanging="2895"/>
        <w:spacing w:after="0" w:line="432" w:lineRule="auto"/>
        <w:tabs>
          <w:tab w:leader="none" w:pos="114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37" w:lineRule="exact"/>
        <w:rPr>
          <w:rFonts w:ascii="MS PGothic" w:cs="MS PGothic" w:eastAsia="MS PGothic" w:hAnsi="MS PGothic"/>
          <w:sz w:val="18"/>
          <w:szCs w:val="18"/>
          <w:color w:val="auto"/>
        </w:rPr>
      </w:pPr>
    </w:p>
    <w:p>
      <w:pPr>
        <w:ind w:left="1140" w:hanging="199"/>
        <w:spacing w:after="0"/>
        <w:tabs>
          <w:tab w:leader="none" w:pos="11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61" w:lineRule="exact"/>
        <w:rPr>
          <w:rFonts w:ascii="MS PGothic" w:cs="MS PGothic" w:eastAsia="MS PGothic" w:hAnsi="MS PGothic"/>
          <w:sz w:val="18"/>
          <w:szCs w:val="18"/>
          <w:color w:val="auto"/>
        </w:rPr>
      </w:pPr>
    </w:p>
    <w:p>
      <w:pPr>
        <w:ind w:left="31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 the transition period from </w:t>
      </w:r>
      <w:r>
        <w:rPr>
          <w:rFonts w:ascii="Times New Roman" w:cs="Times New Roman" w:eastAsia="Times New Roman" w:hAnsi="Times New Roman"/>
          <w:sz w:val="10"/>
          <w:szCs w:val="10"/>
          <w:color w:val="auto"/>
        </w:rPr>
        <w:t>_______________________</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0"/>
          <w:szCs w:val="10"/>
          <w:color w:val="auto"/>
        </w:rPr>
        <w:t>_______________________</w:t>
      </w:r>
      <w:r>
        <w:rPr>
          <w:rFonts w:ascii="Times New Roman" w:cs="Times New Roman" w:eastAsia="Times New Roman" w:hAnsi="Times New Roman"/>
          <w:sz w:val="18"/>
          <w:szCs w:val="18"/>
          <w:color w:val="auto"/>
        </w:rPr>
        <w:t>.</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001-38180</w:t>
      </w:r>
    </w:p>
    <w:p>
      <w:pPr>
        <w:spacing w:after="0" w:line="151"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w:t>
      </w:r>
    </w:p>
    <w:p>
      <w:pPr>
        <w:spacing w:after="0" w:line="1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HF FOODS GROUP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4"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536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81-2717873</w:t>
            </w:r>
          </w:p>
        </w:tc>
      </w:tr>
      <w:tr>
        <w:trPr>
          <w:trHeight w:val="243"/>
        </w:trPr>
        <w:tc>
          <w:tcPr>
            <w:tcW w:w="53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68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9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6325 South Rainbow Boulevard, Suite 420, Las Vegas, NV 89118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062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(888) 905-0988</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4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HFFG</w:t>
            </w:r>
          </w:p>
        </w:tc>
        <w:tc>
          <w:tcPr>
            <w:tcW w:w="4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23"/>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Preferred Share Purchase Rights</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4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90" w:lineRule="exact"/>
        <w:rPr>
          <w:sz w:val="24"/>
          <w:szCs w:val="24"/>
          <w:color w:val="auto"/>
        </w:rPr>
      </w:pPr>
    </w:p>
    <w:p>
      <w:pPr>
        <w:ind w:right="2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44"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2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ind w:right="2060"/>
        <w:spacing w:after="0" w:line="31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7, 2025, the registrant had 53,014,705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HF Foods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the Quarter Ended March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94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0"/>
        </w:trPr>
        <w:tc>
          <w:tcPr>
            <w:tcW w:w="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994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183"/>
        </w:trPr>
        <w:tc>
          <w:tcPr>
            <w:tcW w:w="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99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Financial Statements</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Condensed Consolidated Balance Sheets (Unaudited)</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Loss (Unaudited)</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Condensed Consolidated Statements of Changes in Shareholders’ Equity (Unaudited)</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3.</w:t>
            </w:r>
          </w:p>
        </w:tc>
        <w:tc>
          <w:tcPr>
            <w:tcW w:w="9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Controls and Procedures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r>
      <w:tr>
        <w:trPr>
          <w:trHeight w:val="162"/>
        </w:trPr>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9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9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9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Legal Proceedings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Risk Factors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2.</w:t>
            </w:r>
          </w:p>
        </w:tc>
        <w:tc>
          <w:tcPr>
            <w:tcW w:w="9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w:t>
            </w:r>
          </w:p>
        </w:tc>
        <w:tc>
          <w:tcPr>
            <w:tcW w:w="9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Mine Safety Disclosures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Information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6.</w:t>
            </w:r>
          </w:p>
        </w:tc>
        <w:tc>
          <w:tcPr>
            <w:tcW w:w="9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Exhibits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shd w:val="clear" w:color="auto" w:fill="CCEEFF"/>
          </w:tcPr>
          <w:p>
            <w:pPr>
              <w:spacing w:after="0"/>
              <w:rPr>
                <w:sz w:val="19"/>
                <w:szCs w:val="19"/>
                <w:color w:val="auto"/>
              </w:rPr>
            </w:pPr>
          </w:p>
        </w:tc>
      </w:tr>
      <w:tr>
        <w:trPr>
          <w:trHeight w:val="162"/>
        </w:trPr>
        <w:tc>
          <w:tcPr>
            <w:tcW w:w="20" w:type="dxa"/>
            <w:vAlign w:val="bottom"/>
          </w:tcPr>
          <w:p>
            <w:pPr>
              <w:spacing w:after="0"/>
              <w:rPr>
                <w:sz w:val="14"/>
                <w:szCs w:val="14"/>
                <w:color w:val="auto"/>
              </w:rPr>
            </w:pPr>
          </w:p>
        </w:tc>
        <w:tc>
          <w:tcPr>
            <w:tcW w:w="10840" w:type="dxa"/>
            <w:vAlign w:val="bottom"/>
            <w:gridSpan w:val="2"/>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0"/>
        </w:trPr>
        <w:tc>
          <w:tcPr>
            <w:tcW w:w="20" w:type="dxa"/>
            <w:vAlign w:val="bottom"/>
            <w:shd w:val="clear" w:color="auto" w:fill="CCEEFF"/>
          </w:tcPr>
          <w:p>
            <w:pPr>
              <w:spacing w:after="0"/>
              <w:rPr>
                <w:sz w:val="19"/>
                <w:szCs w:val="19"/>
                <w:color w:val="auto"/>
              </w:rPr>
            </w:pPr>
          </w:p>
        </w:tc>
        <w:tc>
          <w:tcPr>
            <w:tcW w:w="10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SIGNATURE PAGE</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shd w:val="clear" w:color="auto" w:fill="CCEEFF"/>
          </w:tcPr>
          <w:p>
            <w:pPr>
              <w:spacing w:after="0"/>
              <w:rPr>
                <w:sz w:val="19"/>
                <w:szCs w:val="19"/>
                <w:color w:val="auto"/>
              </w:rPr>
            </w:pPr>
          </w:p>
        </w:tc>
      </w:tr>
      <w:tr>
        <w:trPr>
          <w:trHeight w:val="1208"/>
        </w:trPr>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9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4740" w:type="dxa"/>
            <w:vAlign w:val="bottom"/>
          </w:tcPr>
          <w:p>
            <w:pPr>
              <w:ind w:left="400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74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3"/>
          </w:tcPr>
          <w:p>
            <w:pPr>
              <w:jc w:val="center"/>
              <w:ind w:left="3678"/>
              <w:spacing w:after="0"/>
              <w:rPr>
                <w:sz w:val="20"/>
                <w:szCs w:val="20"/>
                <w:color w:val="auto"/>
              </w:rPr>
            </w:pPr>
            <w:r>
              <w:rPr>
                <w:rFonts w:ascii="Times New Roman" w:cs="Times New Roman" w:eastAsia="Times New Roman" w:hAnsi="Times New Roman"/>
                <w:sz w:val="18"/>
                <w:szCs w:val="18"/>
                <w:b w:val="1"/>
                <w:bCs w:val="1"/>
                <w:color w:val="auto"/>
                <w:w w:val="99"/>
              </w:rPr>
              <w:t>HF Foods Group Inc. and Subsidiaries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3"/>
          </w:tcPr>
          <w:p>
            <w:pPr>
              <w:jc w:val="center"/>
              <w:ind w:left="3698"/>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3"/>
          </w:tcPr>
          <w:p>
            <w:pPr>
              <w:jc w:val="center"/>
              <w:ind w:left="3698"/>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2740" w:type="dxa"/>
            <w:vAlign w:val="bottom"/>
            <w:gridSpan w:val="2"/>
          </w:tcPr>
          <w:p>
            <w:pPr>
              <w:jc w:val="center"/>
              <w:ind w:right="899"/>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7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20" w:type="dxa"/>
            <w:vAlign w:val="bottom"/>
          </w:tcPr>
          <w:p>
            <w:pPr>
              <w:spacing w:after="0"/>
              <w:rPr>
                <w:sz w:val="20"/>
                <w:szCs w:val="20"/>
                <w:color w:val="auto"/>
              </w:rPr>
            </w:pPr>
          </w:p>
        </w:tc>
        <w:tc>
          <w:tcPr>
            <w:tcW w:w="18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99"/>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w:t>
            </w:r>
          </w:p>
        </w:tc>
        <w:tc>
          <w:tcPr>
            <w:tcW w:w="27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14,467</w:t>
            </w:r>
          </w:p>
        </w:tc>
        <w:tc>
          <w:tcPr>
            <w:tcW w:w="0" w:type="dxa"/>
            <w:vAlign w:val="bottom"/>
          </w:tcPr>
          <w:p>
            <w:pPr>
              <w:spacing w:after="0"/>
              <w:rPr>
                <w:sz w:val="1"/>
                <w:szCs w:val="1"/>
                <w:color w:val="auto"/>
              </w:rPr>
            </w:pPr>
          </w:p>
        </w:tc>
      </w:tr>
      <w:tr>
        <w:trPr>
          <w:trHeight w:val="213"/>
        </w:trPr>
        <w:tc>
          <w:tcPr>
            <w:tcW w:w="4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 of allowances of $2,174 and $1,557</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54,107</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 - related parties</w:t>
            </w:r>
          </w:p>
        </w:tc>
        <w:tc>
          <w:tcPr>
            <w:tcW w:w="2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13"/>
        </w:trPr>
        <w:tc>
          <w:tcPr>
            <w:tcW w:w="4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Inventories</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97,783</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11,507</w:t>
            </w:r>
          </w:p>
        </w:tc>
        <w:tc>
          <w:tcPr>
            <w:tcW w:w="0" w:type="dxa"/>
            <w:vAlign w:val="bottom"/>
          </w:tcPr>
          <w:p>
            <w:pPr>
              <w:spacing w:after="0"/>
              <w:rPr>
                <w:sz w:val="1"/>
                <w:szCs w:val="1"/>
                <w:color w:val="auto"/>
              </w:rPr>
            </w:pPr>
          </w:p>
        </w:tc>
      </w:tr>
      <w:tr>
        <w:trPr>
          <w:trHeight w:val="208"/>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188,126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178,103</w:t>
            </w:r>
          </w:p>
        </w:tc>
        <w:tc>
          <w:tcPr>
            <w:tcW w:w="0" w:type="dxa"/>
            <w:vAlign w:val="bottom"/>
          </w:tcPr>
          <w:p>
            <w:pPr>
              <w:spacing w:after="0"/>
              <w:rPr>
                <w:sz w:val="1"/>
                <w:szCs w:val="1"/>
                <w:color w:val="auto"/>
              </w:rPr>
            </w:pPr>
          </w:p>
        </w:tc>
      </w:tr>
      <w:tr>
        <w:trPr>
          <w:trHeight w:val="21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149,572</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13,944</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2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 net</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136,615</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 trade names and other intangibles, net</w:t>
            </w:r>
          </w:p>
        </w:tc>
        <w:tc>
          <w:tcPr>
            <w:tcW w:w="2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24,911</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38,815</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24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5,681</w:t>
            </w:r>
          </w:p>
        </w:tc>
        <w:tc>
          <w:tcPr>
            <w:tcW w:w="0" w:type="dxa"/>
            <w:vAlign w:val="bottom"/>
          </w:tcPr>
          <w:p>
            <w:pPr>
              <w:spacing w:after="0"/>
              <w:rPr>
                <w:sz w:val="1"/>
                <w:szCs w:val="1"/>
                <w:color w:val="auto"/>
              </w:rPr>
            </w:pPr>
          </w:p>
        </w:tc>
      </w:tr>
      <w:tr>
        <w:trPr>
          <w:trHeight w:val="209"/>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581,850</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549,991</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Checks issued not presented for payment</w:t>
            </w:r>
          </w:p>
        </w:tc>
        <w:tc>
          <w:tcPr>
            <w:tcW w:w="27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5,687</w:t>
            </w:r>
          </w:p>
        </w:tc>
        <w:tc>
          <w:tcPr>
            <w:tcW w:w="0" w:type="dxa"/>
            <w:vAlign w:val="bottom"/>
          </w:tcPr>
          <w:p>
            <w:pPr>
              <w:spacing w:after="0"/>
              <w:rPr>
                <w:sz w:val="1"/>
                <w:szCs w:val="1"/>
                <w:color w:val="auto"/>
              </w:rPr>
            </w:pPr>
          </w:p>
        </w:tc>
      </w:tr>
      <w:tr>
        <w:trPr>
          <w:trHeight w:val="213"/>
        </w:trPr>
        <w:tc>
          <w:tcPr>
            <w:tcW w:w="4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Line of credit</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57,483</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2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50,592</w:t>
            </w:r>
          </w:p>
        </w:tc>
        <w:tc>
          <w:tcPr>
            <w:tcW w:w="0" w:type="dxa"/>
            <w:vAlign w:val="bottom"/>
          </w:tcPr>
          <w:p>
            <w:pPr>
              <w:spacing w:after="0"/>
              <w:rPr>
                <w:sz w:val="1"/>
                <w:szCs w:val="1"/>
                <w:color w:val="auto"/>
              </w:rPr>
            </w:pPr>
          </w:p>
        </w:tc>
      </w:tr>
      <w:tr>
        <w:trPr>
          <w:trHeight w:val="213"/>
        </w:trPr>
        <w:tc>
          <w:tcPr>
            <w:tcW w:w="4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 - related parties</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Current portion of long-term debt, net</w:t>
            </w:r>
          </w:p>
        </w:tc>
        <w:tc>
          <w:tcPr>
            <w:tcW w:w="2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5,410</w:t>
            </w:r>
          </w:p>
        </w:tc>
        <w:tc>
          <w:tcPr>
            <w:tcW w:w="0" w:type="dxa"/>
            <w:vAlign w:val="bottom"/>
          </w:tcPr>
          <w:p>
            <w:pPr>
              <w:spacing w:after="0"/>
              <w:rPr>
                <w:sz w:val="1"/>
                <w:szCs w:val="1"/>
                <w:color w:val="auto"/>
              </w:rPr>
            </w:pPr>
          </w:p>
        </w:tc>
      </w:tr>
      <w:tr>
        <w:trPr>
          <w:trHeight w:val="213"/>
        </w:trPr>
        <w:tc>
          <w:tcPr>
            <w:tcW w:w="4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portion of obligations under finance leases</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3,797</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Current portion of obligations under operating leases</w:t>
            </w:r>
          </w:p>
        </w:tc>
        <w:tc>
          <w:tcPr>
            <w:tcW w:w="2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4,177</w:t>
            </w:r>
          </w:p>
        </w:tc>
        <w:tc>
          <w:tcPr>
            <w:tcW w:w="0" w:type="dxa"/>
            <w:vAlign w:val="bottom"/>
          </w:tcPr>
          <w:p>
            <w:pPr>
              <w:spacing w:after="0"/>
              <w:rPr>
                <w:sz w:val="1"/>
                <w:szCs w:val="1"/>
                <w:color w:val="auto"/>
              </w:rPr>
            </w:pPr>
          </w:p>
        </w:tc>
      </w:tr>
      <w:tr>
        <w:trPr>
          <w:trHeight w:val="213"/>
        </w:trPr>
        <w:tc>
          <w:tcPr>
            <w:tcW w:w="4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4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15,883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18,001</w:t>
            </w:r>
          </w:p>
        </w:tc>
        <w:tc>
          <w:tcPr>
            <w:tcW w:w="0" w:type="dxa"/>
            <w:vAlign w:val="bottom"/>
          </w:tcPr>
          <w:p>
            <w:pPr>
              <w:spacing w:after="0"/>
              <w:rPr>
                <w:sz w:val="1"/>
                <w:szCs w:val="1"/>
                <w:color w:val="auto"/>
              </w:rPr>
            </w:pPr>
          </w:p>
        </w:tc>
      </w:tr>
      <w:tr>
        <w:trPr>
          <w:trHeight w:val="21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157,614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145,199</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103,324</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Obligations under finance leases, non-current</w:t>
            </w:r>
          </w:p>
        </w:tc>
        <w:tc>
          <w:tcPr>
            <w:tcW w:w="2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19,929</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Obligations under operating leases, non-current</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10,125</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29,392</w:t>
            </w:r>
          </w:p>
        </w:tc>
        <w:tc>
          <w:tcPr>
            <w:tcW w:w="0" w:type="dxa"/>
            <w:vAlign w:val="bottom"/>
          </w:tcPr>
          <w:p>
            <w:pPr>
              <w:spacing w:after="0"/>
              <w:rPr>
                <w:sz w:val="1"/>
                <w:szCs w:val="1"/>
                <w:color w:val="auto"/>
              </w:rPr>
            </w:pPr>
          </w:p>
        </w:tc>
      </w:tr>
      <w:tr>
        <w:trPr>
          <w:trHeight w:val="213"/>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0" w:type="dxa"/>
            <w:vAlign w:val="bottom"/>
          </w:tcPr>
          <w:p>
            <w:pPr>
              <w:spacing w:after="0"/>
              <w:rPr>
                <w:sz w:val="1"/>
                <w:szCs w:val="1"/>
                <w:color w:val="auto"/>
              </w:rPr>
            </w:pPr>
          </w:p>
        </w:tc>
      </w:tr>
      <w:tr>
        <w:trPr>
          <w:trHeight w:val="21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341,712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308,697</w:t>
            </w:r>
          </w:p>
        </w:tc>
        <w:tc>
          <w:tcPr>
            <w:tcW w:w="0" w:type="dxa"/>
            <w:vAlign w:val="bottom"/>
          </w:tcPr>
          <w:p>
            <w:pPr>
              <w:spacing w:after="0"/>
              <w:rPr>
                <w:sz w:val="1"/>
                <w:szCs w:val="1"/>
                <w:color w:val="auto"/>
              </w:rPr>
            </w:pPr>
          </w:p>
        </w:tc>
      </w:tr>
      <w:tr>
        <w:trPr>
          <w:trHeight w:val="214"/>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14)</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480" w:type="dxa"/>
            <w:vAlign w:val="bottom"/>
            <w:gridSpan w:val="3"/>
          </w:tcPr>
          <w:p>
            <w:pPr>
              <w:ind w:left="240"/>
              <w:spacing w:after="0" w:line="162" w:lineRule="exact"/>
              <w:rPr>
                <w:sz w:val="20"/>
                <w:szCs w:val="20"/>
                <w:color w:val="auto"/>
              </w:rPr>
            </w:pPr>
            <w:r>
              <w:rPr>
                <w:rFonts w:ascii="Times New Roman" w:cs="Times New Roman" w:eastAsia="Times New Roman" w:hAnsi="Times New Roman"/>
                <w:sz w:val="16"/>
                <w:szCs w:val="16"/>
                <w:color w:val="auto"/>
              </w:rPr>
              <w:t>Series A Participating Preferred Stock, par value $0.001; 100,000 shares authorized, no shares issued and</w:t>
            </w:r>
          </w:p>
        </w:tc>
        <w:tc>
          <w:tcPr>
            <w:tcW w:w="1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outstanding</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Preferred Stock, $0.001 par value; 1,000,000 shares authorized; no shares issued and outstanding</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7480" w:type="dxa"/>
            <w:vAlign w:val="bottom"/>
            <w:gridSpan w:val="3"/>
          </w:tcPr>
          <w:p>
            <w:pPr>
              <w:ind w:left="240"/>
              <w:spacing w:after="0" w:line="162" w:lineRule="exact"/>
              <w:rPr>
                <w:sz w:val="20"/>
                <w:szCs w:val="20"/>
                <w:color w:val="auto"/>
              </w:rPr>
            </w:pPr>
            <w:r>
              <w:rPr>
                <w:rFonts w:ascii="Times New Roman" w:cs="Times New Roman" w:eastAsia="Times New Roman" w:hAnsi="Times New Roman"/>
                <w:sz w:val="16"/>
                <w:szCs w:val="16"/>
                <w:color w:val="auto"/>
              </w:rPr>
              <w:t>Common Stock, $0.0001 par value; 100,000,000 shares authorized; 54,735,073 and 54,735,073 shares</w:t>
            </w: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80" w:type="dxa"/>
            <w:vAlign w:val="bottom"/>
            <w:gridSpan w:val="3"/>
          </w:tcPr>
          <w:p>
            <w:pPr>
              <w:ind w:left="240"/>
              <w:spacing w:after="0" w:line="162" w:lineRule="exact"/>
              <w:rPr>
                <w:sz w:val="20"/>
                <w:szCs w:val="20"/>
                <w:color w:val="auto"/>
              </w:rPr>
            </w:pPr>
            <w:r>
              <w:rPr>
                <w:rFonts w:ascii="Times New Roman" w:cs="Times New Roman" w:eastAsia="Times New Roman" w:hAnsi="Times New Roman"/>
                <w:sz w:val="16"/>
                <w:szCs w:val="16"/>
                <w:color w:val="auto"/>
              </w:rPr>
              <w:t>issued and 52,737,650 and 52,737,650 shares outstanding as of March 31, 2025 and December 31, 2024,</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4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respectively</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Treasury stock, at cost; 1,997,423 shares as of March 31, 2025 and December 31, 2024</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(7,750)</w:t>
            </w:r>
          </w:p>
        </w:tc>
        <w:tc>
          <w:tcPr>
            <w:tcW w:w="0" w:type="dxa"/>
            <w:vAlign w:val="bottom"/>
          </w:tcPr>
          <w:p>
            <w:pPr>
              <w:spacing w:after="0"/>
              <w:rPr>
                <w:sz w:val="1"/>
                <w:szCs w:val="1"/>
                <w:color w:val="auto"/>
              </w:rPr>
            </w:pPr>
          </w:p>
        </w:tc>
      </w:tr>
      <w:tr>
        <w:trPr>
          <w:trHeight w:val="213"/>
        </w:trPr>
        <w:tc>
          <w:tcPr>
            <w:tcW w:w="4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604,609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604,235</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24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(358,844)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(357,199)</w:t>
            </w:r>
          </w:p>
        </w:tc>
        <w:tc>
          <w:tcPr>
            <w:tcW w:w="0" w:type="dxa"/>
            <w:vAlign w:val="bottom"/>
          </w:tcPr>
          <w:p>
            <w:pPr>
              <w:spacing w:after="0"/>
              <w:rPr>
                <w:sz w:val="1"/>
                <w:szCs w:val="1"/>
                <w:color w:val="auto"/>
              </w:rPr>
            </w:pPr>
          </w:p>
        </w:tc>
      </w:tr>
      <w:tr>
        <w:trPr>
          <w:trHeight w:val="208"/>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SHAREHOLDERS’ EQUITY ATTRIBUTABLE TO HF FOODS GROUP INC.</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238,020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239,291</w:t>
            </w:r>
          </w:p>
        </w:tc>
        <w:tc>
          <w:tcPr>
            <w:tcW w:w="0" w:type="dxa"/>
            <w:vAlign w:val="bottom"/>
          </w:tcPr>
          <w:p>
            <w:pPr>
              <w:spacing w:after="0"/>
              <w:rPr>
                <w:sz w:val="1"/>
                <w:szCs w:val="1"/>
                <w:color w:val="auto"/>
              </w:rPr>
            </w:pPr>
          </w:p>
        </w:tc>
      </w:tr>
      <w:tr>
        <w:trPr>
          <w:trHeight w:val="21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4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2,003</w:t>
            </w:r>
          </w:p>
        </w:tc>
        <w:tc>
          <w:tcPr>
            <w:tcW w:w="0" w:type="dxa"/>
            <w:vAlign w:val="bottom"/>
          </w:tcPr>
          <w:p>
            <w:pPr>
              <w:spacing w:after="0"/>
              <w:rPr>
                <w:sz w:val="1"/>
                <w:szCs w:val="1"/>
                <w:color w:val="auto"/>
              </w:rPr>
            </w:pPr>
          </w:p>
        </w:tc>
      </w:tr>
      <w:tr>
        <w:trPr>
          <w:trHeight w:val="208"/>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24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240,138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241,294</w:t>
            </w:r>
          </w:p>
        </w:tc>
        <w:tc>
          <w:tcPr>
            <w:tcW w:w="0" w:type="dxa"/>
            <w:vAlign w:val="bottom"/>
          </w:tcPr>
          <w:p>
            <w:pPr>
              <w:spacing w:after="0"/>
              <w:rPr>
                <w:sz w:val="1"/>
                <w:szCs w:val="1"/>
                <w:color w:val="auto"/>
              </w:rPr>
            </w:pPr>
          </w:p>
        </w:tc>
      </w:tr>
      <w:tr>
        <w:trPr>
          <w:trHeight w:val="236"/>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4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581,850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549,991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 w:name="page4"/>
    <w:bookmarkEnd w:id="3"/>
    <w:p>
      <w:pPr>
        <w:jc w:val="center"/>
        <w:ind w:left="340" w:right="2660"/>
        <w:spacing w:after="0" w:line="265" w:lineRule="auto"/>
        <w:rPr>
          <w:sz w:val="20"/>
          <w:szCs w:val="20"/>
          <w:color w:val="auto"/>
        </w:rPr>
      </w:pPr>
      <w:r>
        <w:rPr>
          <w:rFonts w:ascii="Times New Roman" w:cs="Times New Roman" w:eastAsia="Times New Roman" w:hAnsi="Times New Roman"/>
          <w:sz w:val="18"/>
          <w:szCs w:val="18"/>
          <w:b w:val="1"/>
          <w:bCs w:val="1"/>
          <w:color w:val="auto"/>
        </w:rPr>
        <w:t>HF Foods Group Inc. and Subsidiaries Condensed Consolidated Statements of Operations and Comprehensive Loss (In thousands, except share and per share data) (Unaudited)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76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 third parties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297,473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294,836</w:t>
            </w:r>
          </w:p>
        </w:tc>
      </w:tr>
      <w:tr>
        <w:trPr>
          <w:trHeight w:val="213"/>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revenue - related parties</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w:t>
            </w:r>
          </w:p>
        </w:tc>
      </w:tr>
      <w:tr>
        <w:trPr>
          <w:trHeight w:val="212"/>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NET REVENUE</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298,428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295,654</w:t>
            </w:r>
          </w:p>
        </w:tc>
      </w:tr>
      <w:tr>
        <w:trPr>
          <w:trHeight w:val="270"/>
        </w:trPr>
        <w:tc>
          <w:tcPr>
            <w:tcW w:w="76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 - third parties</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246,591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244,484</w:t>
            </w:r>
          </w:p>
        </w:tc>
      </w:tr>
      <w:tr>
        <w:trPr>
          <w:trHeight w:val="213"/>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 - related parties</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w:t>
            </w:r>
          </w:p>
        </w:tc>
      </w:tr>
      <w:tr>
        <w:trPr>
          <w:trHeight w:val="212"/>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COST OF REVENUE</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247,469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245,243</w:t>
            </w:r>
          </w:p>
        </w:tc>
      </w:tr>
      <w:tr>
        <w:trPr>
          <w:trHeight w:val="270"/>
        </w:trPr>
        <w:tc>
          <w:tcPr>
            <w:tcW w:w="76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r>
      <w:tr>
        <w:trPr>
          <w:trHeight w:val="209"/>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50,959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50,411</w:t>
            </w:r>
          </w:p>
        </w:tc>
      </w:tr>
      <w:tr>
        <w:trPr>
          <w:trHeight w:val="270"/>
        </w:trPr>
        <w:tc>
          <w:tcPr>
            <w:tcW w:w="76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 selling and administrative expenses</w:t>
            </w: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49,805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50,496</w:t>
            </w:r>
          </w:p>
        </w:tc>
      </w:tr>
      <w:tr>
        <w:trPr>
          <w:trHeight w:val="208"/>
        </w:trPr>
        <w:tc>
          <w:tcPr>
            <w:tcW w:w="768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INCOME (LOSS) FROM OPERATIONS</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1,154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(85)</w:t>
            </w:r>
          </w:p>
        </w:tc>
      </w:tr>
      <w:tr>
        <w:trPr>
          <w:trHeight w:val="218"/>
        </w:trPr>
        <w:tc>
          <w:tcPr>
            <w:tcW w:w="7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2,834</w:t>
            </w: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interest rate swap contracts</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(1,970)</w:t>
            </w: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guarantee income</w:t>
            </w:r>
          </w:p>
        </w:tc>
        <w:tc>
          <w:tcPr>
            <w:tcW w:w="3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08"/>
        </w:trPr>
        <w:tc>
          <w:tcPr>
            <w:tcW w:w="768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3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(2,462)</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(740)</w:t>
            </w:r>
          </w:p>
        </w:tc>
      </w:tr>
      <w:tr>
        <w:trPr>
          <w:trHeight w:val="272"/>
        </w:trPr>
        <w:tc>
          <w:tcPr>
            <w:tcW w:w="76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13"/>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r>
      <w:tr>
        <w:trPr>
          <w:trHeight w:val="212"/>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NET LOSS AND COMPREHENSIVE LOSS</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(1,530)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(559)</w:t>
            </w:r>
          </w:p>
        </w:tc>
      </w:tr>
      <w:tr>
        <w:trPr>
          <w:trHeight w:val="270"/>
        </w:trPr>
        <w:tc>
          <w:tcPr>
            <w:tcW w:w="76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1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12"/>
        </w:trPr>
        <w:tc>
          <w:tcPr>
            <w:tcW w:w="768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NET LOSS AND COMPREHENSIVE LOSS ATTRIBUTABLE TO HF FOODS GROUP INC.</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(1,645)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(694)</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76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PER COMMON SHARE - BASIC</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(0.03)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(0.01)</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5"/>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PER COMMON SHARE - DILUTED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(0.01)</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 BASIC</w:t>
            </w: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52,737,650</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52,155,968</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5"/>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 DILUTED</w:t>
            </w:r>
          </w:p>
        </w:tc>
        <w:tc>
          <w:tcPr>
            <w:tcW w:w="3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52,737,650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52,155,968</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HF Foods Group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37"/>
        </w:trPr>
        <w:tc>
          <w:tcPr>
            <w:tcW w:w="76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9"/>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3"/>
        </w:trPr>
        <w:tc>
          <w:tcPr>
            <w:tcW w:w="76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(1,530)</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(559)</w:t>
            </w:r>
          </w:p>
        </w:tc>
      </w:tr>
      <w:tr>
        <w:trPr>
          <w:trHeight w:val="253"/>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Adjustments to reconcile net loss to net cash provided by operating activities:</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3"/>
        </w:trPr>
        <w:tc>
          <w:tcPr>
            <w:tcW w:w="76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6,676</w:t>
            </w:r>
          </w:p>
        </w:tc>
      </w:tr>
      <w:tr>
        <w:trPr>
          <w:trHeight w:val="253"/>
        </w:trPr>
        <w:tc>
          <w:tcPr>
            <w:tcW w:w="7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Provision (credit) for expected credit losses</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40"/>
        </w:trPr>
        <w:tc>
          <w:tcPr>
            <w:tcW w:w="76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Deferred tax benefit</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w:t>
            </w:r>
          </w:p>
        </w:tc>
      </w:tr>
      <w:tr>
        <w:trPr>
          <w:trHeight w:val="246"/>
        </w:trPr>
        <w:tc>
          <w:tcPr>
            <w:tcW w:w="7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Change in fair value of interest rate swap contracts</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w:t>
            </w:r>
          </w:p>
        </w:tc>
      </w:tr>
      <w:tr>
        <w:trPr>
          <w:trHeight w:val="233"/>
        </w:trPr>
        <w:tc>
          <w:tcPr>
            <w:tcW w:w="76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w:t>
            </w:r>
          </w:p>
        </w:tc>
      </w:tr>
      <w:tr>
        <w:trPr>
          <w:trHeight w:val="253"/>
        </w:trPr>
        <w:tc>
          <w:tcPr>
            <w:tcW w:w="7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Non-cash lease expense</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w:t>
            </w:r>
          </w:p>
        </w:tc>
      </w:tr>
      <w:tr>
        <w:trPr>
          <w:trHeight w:val="233"/>
        </w:trPr>
        <w:tc>
          <w:tcPr>
            <w:tcW w:w="76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Lease guarantee income</w:t>
            </w:r>
          </w:p>
        </w:tc>
        <w:tc>
          <w:tcPr>
            <w:tcW w:w="28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53"/>
        </w:trPr>
        <w:tc>
          <w:tcPr>
            <w:tcW w:w="7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non-cash (income) expense</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33"/>
        </w:trPr>
        <w:tc>
          <w:tcPr>
            <w:tcW w:w="76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Changes in operating assets and liabilities:</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3"/>
        </w:trPr>
        <w:tc>
          <w:tcPr>
            <w:tcW w:w="7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w:t>
            </w:r>
          </w:p>
        </w:tc>
      </w:tr>
      <w:tr>
        <w:trPr>
          <w:trHeight w:val="233"/>
        </w:trPr>
        <w:tc>
          <w:tcPr>
            <w:tcW w:w="76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receivable - related parties</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53"/>
        </w:trPr>
        <w:tc>
          <w:tcPr>
            <w:tcW w:w="7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w:t>
            </w:r>
          </w:p>
        </w:tc>
      </w:tr>
      <w:tr>
        <w:trPr>
          <w:trHeight w:val="233"/>
        </w:trPr>
        <w:tc>
          <w:tcPr>
            <w:tcW w:w="76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w:t>
            </w:r>
          </w:p>
        </w:tc>
      </w:tr>
      <w:tr>
        <w:trPr>
          <w:trHeight w:val="253"/>
        </w:trPr>
        <w:tc>
          <w:tcPr>
            <w:tcW w:w="7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long-term assets</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r>
      <w:tr>
        <w:trPr>
          <w:trHeight w:val="233"/>
        </w:trPr>
        <w:tc>
          <w:tcPr>
            <w:tcW w:w="76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Checks issued not presented for payment</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4,169</w:t>
            </w:r>
          </w:p>
        </w:tc>
      </w:tr>
      <w:tr>
        <w:trPr>
          <w:trHeight w:val="253"/>
        </w:trPr>
        <w:tc>
          <w:tcPr>
            <w:tcW w:w="7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6,074</w:t>
            </w:r>
          </w:p>
        </w:tc>
      </w:tr>
      <w:tr>
        <w:trPr>
          <w:trHeight w:val="233"/>
        </w:trPr>
        <w:tc>
          <w:tcPr>
            <w:tcW w:w="76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payable - related parties</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r>
      <w:tr>
        <w:trPr>
          <w:trHeight w:val="253"/>
        </w:trPr>
        <w:tc>
          <w:tcPr>
            <w:tcW w:w="7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w:t>
            </w:r>
          </w:p>
        </w:tc>
      </w:tr>
      <w:tr>
        <w:trPr>
          <w:trHeight w:val="236"/>
        </w:trPr>
        <w:tc>
          <w:tcPr>
            <w:tcW w:w="76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(2,118)</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43"/>
        </w:trPr>
        <w:tc>
          <w:tcPr>
            <w:tcW w:w="7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6,948</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11,224</w:t>
            </w:r>
          </w:p>
        </w:tc>
      </w:tr>
      <w:tr>
        <w:trPr>
          <w:trHeight w:val="213"/>
        </w:trPr>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3"/>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w:t>
            </w:r>
          </w:p>
        </w:tc>
      </w:tr>
      <w:tr>
        <w:trPr>
          <w:trHeight w:val="236"/>
        </w:trPr>
        <w:tc>
          <w:tcPr>
            <w:tcW w:w="7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7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(3,564)</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(2,585)</w:t>
            </w:r>
          </w:p>
        </w:tc>
      </w:tr>
      <w:tr>
        <w:trPr>
          <w:trHeight w:val="213"/>
        </w:trPr>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3"/>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line of credit</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315,008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345,697</w:t>
            </w:r>
          </w:p>
        </w:tc>
      </w:tr>
      <w:tr>
        <w:trPr>
          <w:trHeight w:val="233"/>
        </w:trPr>
        <w:tc>
          <w:tcPr>
            <w:tcW w:w="7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 of line of credit</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(313,714)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(349,082)</w:t>
            </w:r>
          </w:p>
        </w:tc>
      </w:tr>
      <w:tr>
        <w:trPr>
          <w:trHeight w:val="253"/>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 of long-term debt</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w:t>
            </w:r>
          </w:p>
        </w:tc>
      </w:tr>
      <w:tr>
        <w:trPr>
          <w:trHeight w:val="233"/>
        </w:trPr>
        <w:tc>
          <w:tcPr>
            <w:tcW w:w="7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 of debt financing costs</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 of obligations under finance leases</w:t>
            </w:r>
          </w:p>
        </w:tc>
        <w:tc>
          <w:tcPr>
            <w:tcW w:w="2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r>
      <w:tr>
        <w:trPr>
          <w:trHeight w:val="236"/>
        </w:trPr>
        <w:tc>
          <w:tcPr>
            <w:tcW w:w="76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(1,752)</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(5,656)</w:t>
            </w:r>
          </w:p>
        </w:tc>
      </w:tr>
      <w:tr>
        <w:trPr>
          <w:trHeight w:val="243"/>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increase in cash</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1,632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2,983</w:t>
            </w:r>
          </w:p>
        </w:tc>
      </w:tr>
      <w:tr>
        <w:trPr>
          <w:trHeight w:val="236"/>
        </w:trPr>
        <w:tc>
          <w:tcPr>
            <w:tcW w:w="7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Cash at beginning of the period</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14,467</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15,232</w:t>
            </w:r>
          </w:p>
        </w:tc>
      </w:tr>
      <w:tr>
        <w:trPr>
          <w:trHeight w:val="237"/>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at end of the period</w:t>
            </w: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16,099</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18,215</w:t>
            </w:r>
          </w:p>
        </w:tc>
      </w:tr>
      <w:tr>
        <w:trPr>
          <w:trHeight w:val="256"/>
        </w:trPr>
        <w:tc>
          <w:tcPr>
            <w:tcW w:w="7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43"/>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3"/>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assets obtained in exchange for operating lease liabilities</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16,542</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53"/>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acquired in exchange for finance leases</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4,867</w:t>
            </w:r>
          </w:p>
        </w:tc>
      </w:tr>
    </w:tbl>
    <w:p>
      <w:pPr>
        <w:spacing w:after="0" w:line="200" w:lineRule="exact"/>
        <w:rPr>
          <w:sz w:val="20"/>
          <w:szCs w:val="20"/>
          <w:color w:val="auto"/>
        </w:rPr>
      </w:pPr>
    </w:p>
    <w:p>
      <w:pPr>
        <w:sectPr>
          <w:pgSz w:w="11900" w:h="16838" w:orient="portrait"/>
          <w:cols w:equalWidth="0" w:num="1">
            <w:col w:w="10780"/>
          </w:cols>
          <w:pgMar w:left="560" w:top="333"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61595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560" w:top="333" w:right="559" w:bottom="1440" w:gutter="0" w:footer="0" w:header="0"/>
          <w:type w:val="continuous"/>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HF Foods Group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tcPr>
          <w:p>
            <w:pPr>
              <w:spacing w:after="0"/>
              <w:rPr>
                <w:sz w:val="15"/>
                <w:szCs w:val="15"/>
                <w:color w:val="auto"/>
              </w:rPr>
            </w:pPr>
          </w:p>
        </w:tc>
        <w:tc>
          <w:tcPr>
            <w:tcW w:w="136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380" w:type="dxa"/>
            <w:vAlign w:val="bottom"/>
          </w:tcPr>
          <w:p>
            <w:pPr>
              <w:spacing w:after="0"/>
              <w:rPr>
                <w:sz w:val="10"/>
                <w:szCs w:val="10"/>
                <w:color w:val="auto"/>
              </w:rPr>
            </w:pPr>
          </w:p>
        </w:tc>
        <w:tc>
          <w:tcPr>
            <w:tcW w:w="136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23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28"/>
              <w:spacing w:after="0" w:line="158"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HF Foods Group</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5"/>
                <w:szCs w:val="15"/>
                <w:color w:val="auto"/>
              </w:rPr>
            </w:pP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04"/>
        </w:trPr>
        <w:tc>
          <w:tcPr>
            <w:tcW w:w="2380" w:type="dxa"/>
            <w:vAlign w:val="bottom"/>
          </w:tcPr>
          <w:p>
            <w:pPr>
              <w:spacing w:after="0"/>
              <w:rPr>
                <w:sz w:val="17"/>
                <w:szCs w:val="17"/>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w:t>
            </w: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7"/>
                <w:szCs w:val="17"/>
                <w:color w:val="auto"/>
              </w:rPr>
            </w:pPr>
          </w:p>
        </w:tc>
        <w:tc>
          <w:tcPr>
            <w:tcW w:w="10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
        </w:trPr>
        <w:tc>
          <w:tcPr>
            <w:tcW w:w="23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2024</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54,153,391</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1,997,423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(7,750)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603,094</w:t>
            </w:r>
          </w:p>
        </w:tc>
        <w:tc>
          <w:tcPr>
            <w:tcW w:w="8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(308,688)</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286,661</w:t>
            </w: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1,322</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287,983</w:t>
            </w:r>
          </w:p>
        </w:tc>
        <w:tc>
          <w:tcPr>
            <w:tcW w:w="0" w:type="dxa"/>
            <w:vAlign w:val="bottom"/>
          </w:tcPr>
          <w:p>
            <w:pPr>
              <w:spacing w:after="0"/>
              <w:rPr>
                <w:sz w:val="1"/>
                <w:szCs w:val="1"/>
                <w:color w:val="auto"/>
              </w:rPr>
            </w:pPr>
          </w:p>
        </w:tc>
      </w:tr>
      <w:tr>
        <w:trPr>
          <w:trHeight w:val="37"/>
        </w:trPr>
        <w:tc>
          <w:tcPr>
            <w:tcW w:w="23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(loss) income</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0" w:type="dxa"/>
            <w:vAlign w:val="bottom"/>
          </w:tcPr>
          <w:p>
            <w:pPr>
              <w:spacing w:after="0"/>
              <w:rPr>
                <w:sz w:val="1"/>
                <w:szCs w:val="1"/>
                <w:color w:val="auto"/>
              </w:rPr>
            </w:pPr>
          </w:p>
        </w:tc>
      </w:tr>
      <w:tr>
        <w:trPr>
          <w:trHeight w:val="193"/>
        </w:trPr>
        <w:tc>
          <w:tcPr>
            <w:tcW w:w="23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0" w:type="dxa"/>
            <w:vAlign w:val="bottom"/>
          </w:tcPr>
          <w:p>
            <w:pPr>
              <w:spacing w:after="0"/>
              <w:rPr>
                <w:sz w:val="1"/>
                <w:szCs w:val="1"/>
                <w:color w:val="auto"/>
              </w:rPr>
            </w:pPr>
          </w:p>
        </w:tc>
      </w:tr>
      <w:tr>
        <w:trPr>
          <w:trHeight w:val="37"/>
        </w:trPr>
        <w:tc>
          <w:tcPr>
            <w:tcW w:w="23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54,153,391</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1,997,423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(7,750)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603,832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(309,382)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286,705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288,162</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54,735,073</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1,997,423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(7,750)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604,235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(357,199)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239,291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2,003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241,294</w:t>
            </w:r>
          </w:p>
        </w:tc>
        <w:tc>
          <w:tcPr>
            <w:tcW w:w="0" w:type="dxa"/>
            <w:vAlign w:val="bottom"/>
          </w:tcPr>
          <w:p>
            <w:pPr>
              <w:spacing w:after="0"/>
              <w:rPr>
                <w:sz w:val="1"/>
                <w:szCs w:val="1"/>
                <w:color w:val="auto"/>
              </w:rPr>
            </w:pPr>
          </w:p>
        </w:tc>
      </w:tr>
      <w:tr>
        <w:trPr>
          <w:trHeight w:val="206"/>
        </w:trPr>
        <w:tc>
          <w:tcPr>
            <w:tcW w:w="23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 income</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0" w:type="dxa"/>
            <w:vAlign w:val="bottom"/>
          </w:tcPr>
          <w:p>
            <w:pPr>
              <w:spacing w:after="0"/>
              <w:rPr>
                <w:sz w:val="1"/>
                <w:szCs w:val="1"/>
                <w:color w:val="auto"/>
              </w:rPr>
            </w:pPr>
          </w:p>
        </w:tc>
      </w:tr>
      <w:tr>
        <w:trPr>
          <w:trHeight w:val="218"/>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54,735,073</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1,997,423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(7,750)</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604,609</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(358,844)</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238,020</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2,118</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240,138</w:t>
            </w:r>
          </w:p>
        </w:tc>
        <w:tc>
          <w:tcPr>
            <w:tcW w:w="0" w:type="dxa"/>
            <w:vAlign w:val="bottom"/>
          </w:tcPr>
          <w:p>
            <w:pPr>
              <w:spacing w:after="0"/>
              <w:rPr>
                <w:sz w:val="1"/>
                <w:szCs w:val="1"/>
                <w:color w:val="auto"/>
              </w:rPr>
            </w:pPr>
          </w:p>
        </w:tc>
      </w:tr>
      <w:tr>
        <w:trPr>
          <w:trHeight w:val="26"/>
        </w:trPr>
        <w:tc>
          <w:tcPr>
            <w:tcW w:w="23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HF Foods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Description of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General</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HF Foods Group Inc., headquartered in Las Vegas, Nevada, operating through our subsidiaries (collectively “HF Foods” or the “Company”) is a marketer and distributor of fresh produce, frozen and dry food, and non-food products to Asian restaurants, as well as other foodservice customers, throughout the United States. With multiple distribution centers located throughout the nation, HF Foods supplies Asian cuisine through its relationships with growers and suppliers of food products in North America, South America and Asia. The Company’s business consists of one operating segment, which is also its one reportable segment: HF Foods, which operates solely in the United States, offers specialty restaurant foods and supplies to its customers.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of America (“GAAP”) and applicable rules and regulations of the U.S. Securities and Exchange Commission (“SEC”) regarding interim financial reporting. All adjustments (consisting of normal recurring accruals) considered necessary for a fair presentation have been included.</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and related financial information should be read in conjunction with the audited consolidated financial statements and the related notes thereto that are included in our Annual Report on Form 10-K for the year ended December 31, 2024 filed with the SEC on March 17, 2025 (our “2024 Annual Report”). There have been no material changes to our significant accounting policies as compared to the significant accounting policies described in our 2024 Annual Report.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significant intercompany balances and transactions have been eliminated in consolidation. For consolidated entities where we own or are exposed to less than 100% of the economics, the Company records net income (loss) attributable to noncontrolling interests in its condensed consolidated statements of operations and comprehensive loss equal to the percentage of the economic or ownership interest retained in such entity by the respective noncontrolling party.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2024, the Company reclassified the presentation of checks issued not presented for payment from cash flows from financing activities to cash flows from operating activities in the condensed consolidated statement of cash flows. Prior periods amounts were reclassified to conform to the current period presentation. The reclassification did not impact condensed consolidated balance sheets or condensed consolidated statements of operations and comprehensive loss.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GAAP provides guidance on the identification of a variable interest entity (“VIE”) and financial reporting for an entity over which control is achieved through means other than voting interests. The Company evaluates each of its interests in an entity to determine whether or not the investee is a VIE and, if so, whether the Company is the primary beneficiary of such VIE. In determining whether the Company is the primary beneficiary, the Company considers if the Company (1) has power to direct the activities that most significantly affect the economic performance of the VIE, and (2) has the obligation to absorb losses or the right to receive the economic benefits of the VIE that could be potentially significant to the VIE. If deemed the primary beneficiary, the Company consolidates the VIE.</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For the quarter ended March 31, 2025, the Company had no VIEs. The Company had one VIE, AnHeart, Inc. (“AnHeart”), for which the Company was not the primary beneficiary and therefore did not consolidate. Effective April 30, 2024, the Company assumed the lease for which AnHeart was a lessee and the Company was a guarantor, and as such, it no longer recognizes AnHeart as a VIE. See </w:t>
      </w:r>
      <w:r>
        <w:rPr>
          <w:rFonts w:ascii="Times New Roman" w:cs="Times New Roman" w:eastAsia="Times New Roman" w:hAnsi="Times New Roman"/>
          <w:sz w:val="18"/>
          <w:szCs w:val="18"/>
          <w:i w:val="1"/>
          <w:iCs w:val="1"/>
          <w:color w:val="auto"/>
        </w:rPr>
        <w:t>Note 14 - Commitments and Contingencies</w:t>
      </w:r>
      <w:r>
        <w:rPr>
          <w:rFonts w:ascii="Times New Roman" w:cs="Times New Roman" w:eastAsia="Times New Roman" w:hAnsi="Times New Roman"/>
          <w:sz w:val="18"/>
          <w:szCs w:val="18"/>
          <w:color w:val="auto"/>
        </w:rPr>
        <w:t xml:space="preserve"> for additional information on AnHeart.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GAAP requires that noncontrolling interests in subsidiaries and affiliates be reported in the equity section of the Company’s condensed consolidated balance sheets. In addition, the amounts attributable to the net income (loss) of those noncontrolling interests are reported separately in the condensed consolidated statements of operations and comprehensive loss.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and December 31, 2024, noncontrolling interest equity consisted of the following: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Ownership of</w:t>
            </w: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noncontrolling interest at</w:t>
            </w: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8"/>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80" w:type="dxa"/>
            <w:vAlign w:val="bottom"/>
          </w:tcPr>
          <w:p>
            <w:pPr>
              <w:spacing w:after="0"/>
              <w:rPr>
                <w:sz w:val="20"/>
                <w:szCs w:val="20"/>
                <w:color w:val="auto"/>
              </w:rPr>
            </w:pPr>
          </w:p>
        </w:tc>
        <w:tc>
          <w:tcPr>
            <w:tcW w:w="19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20" w:type="dxa"/>
            <w:vAlign w:val="bottom"/>
          </w:tcPr>
          <w:p>
            <w:pPr>
              <w:spacing w:after="0"/>
              <w:rPr>
                <w:sz w:val="20"/>
                <w:szCs w:val="20"/>
                <w:color w:val="auto"/>
              </w:rPr>
            </w:pP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7"/>
        </w:trPr>
        <w:tc>
          <w:tcPr>
            <w:tcW w:w="4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 Food, Inc.</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r>
      <w:tr>
        <w:trPr>
          <w:trHeight w:val="243"/>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Monterey Food Service, LLC</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7"/>
        </w:trPr>
        <w:tc>
          <w:tcPr>
            <w:tcW w:w="4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88"/>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Estimates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each reporting period. Actual results could differ from those estimates. Significant accounting estimates reflected in the Company’s condensed consolidated financial statements include, but are not limited to, inventory reserves, impairment of long-lived assets, and impairment of goodwill.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(ASU) 2023-09, Income Taxes (Topic 740): Improvements to Income Tax Disclosures, which requires public entities to disclose specific categories in its annual effective tax rate reconciliation and disaggregated information about significant reconciling items by jurisdiction and by nature. This guidance also requires entities to disclose their income tax payments (net of refunds) to international, federal, and state and local jurisdictions. This guidance is effective for fiscal years beginning after December 15, 2024. Upon adoption, ASU 2023-09 should be applied on a prospective basis while retrospective application is permitted. The Company does not expect this adoption to have a material impact on its consolidated financial statements.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The guidance requires additional disclosure of certain amounts included in the expense captions presented on the Statement of Operations as well as disclosures about selling expenses. This guidance is effective on a prospective basis, with the option for retrospective application, for annual periods beginning after December 15, 2026 and interim reporting periods beginning after December 15, 2027. The Company is in the process of assessing the impact the adoption of this guidance will have on the Company’s financial statement disclosures.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Segment Reporting (Topic 280): Improvements to Reportable Segment Disclosures, which requires enhanced disclosures about segment expenses on an annual and interim basis. This standard is effective for the Company’s consolidated financial statements for the year ending December 31, 2024 and for interim periods beginning in 2025. See </w:t>
      </w:r>
      <w:r>
        <w:rPr>
          <w:rFonts w:ascii="Times New Roman" w:cs="Times New Roman" w:eastAsia="Times New Roman" w:hAnsi="Times New Roman"/>
          <w:sz w:val="18"/>
          <w:szCs w:val="18"/>
          <w:i w:val="1"/>
          <w:iCs w:val="1"/>
          <w:color w:val="auto"/>
        </w:rPr>
        <w:t>Note 13 - Segment Information</w:t>
      </w:r>
      <w:r>
        <w:rPr>
          <w:rFonts w:ascii="Times New Roman" w:cs="Times New Roman" w:eastAsia="Times New Roman" w:hAnsi="Times New Roman"/>
          <w:sz w:val="18"/>
          <w:szCs w:val="18"/>
          <w:color w:val="auto"/>
        </w:rPr>
        <w:t xml:space="preserve"> in the accompanying notes to the condensed consolidated financial statements for further detail.</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 Revenue</w:t>
            </w:r>
          </w:p>
        </w:tc>
        <w:tc>
          <w:tcPr>
            <w:tcW w:w="1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presents the Company’s net revenue disaggregated by principal product categories: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3440" w:type="dxa"/>
            <w:vAlign w:val="bottom"/>
            <w:tcBorders>
              <w:bottom w:val="single" w:sz="8" w:color="auto"/>
            </w:tcBorders>
            <w:gridSpan w:val="1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2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Seafood</w:t>
            </w:r>
          </w:p>
        </w:tc>
        <w:tc>
          <w:tcPr>
            <w:tcW w:w="192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105,575</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7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Asian Specialty</w:t>
            </w:r>
          </w:p>
        </w:tc>
        <w:tc>
          <w:tcPr>
            <w:tcW w:w="1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60,980</w:t>
            </w:r>
          </w:p>
        </w:tc>
        <w:tc>
          <w:tcPr>
            <w:tcW w:w="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80,209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7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Meat and Poultry</w:t>
            </w:r>
          </w:p>
        </w:tc>
        <w:tc>
          <w:tcPr>
            <w:tcW w:w="1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66,025</w:t>
            </w: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7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Produce</w:t>
            </w:r>
          </w:p>
        </w:tc>
        <w:tc>
          <w:tcPr>
            <w:tcW w:w="1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27,911</w:t>
            </w:r>
          </w:p>
        </w:tc>
        <w:tc>
          <w:tcPr>
            <w:tcW w:w="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32,083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7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Packaging and Other</w:t>
            </w:r>
          </w:p>
        </w:tc>
        <w:tc>
          <w:tcPr>
            <w:tcW w:w="1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14,121</w:t>
            </w: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7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Commodity</w:t>
            </w:r>
          </w:p>
        </w:tc>
        <w:tc>
          <w:tcPr>
            <w:tcW w:w="122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23,816</w:t>
            </w:r>
          </w:p>
        </w:tc>
        <w:tc>
          <w:tcPr>
            <w:tcW w:w="80" w:type="dxa"/>
            <w:vAlign w:val="bottom"/>
            <w:tcBorders>
              <w:bottom w:val="single" w:sz="8" w:color="CCEEFF"/>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14,843</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298,428</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 Balance Sheet Components</w:t>
            </w:r>
          </w:p>
        </w:tc>
        <w:tc>
          <w:tcPr>
            <w:tcW w:w="1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5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72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59,976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55,664</w:t>
            </w:r>
          </w:p>
        </w:tc>
        <w:tc>
          <w:tcPr>
            <w:tcW w:w="0" w:type="dxa"/>
            <w:vAlign w:val="bottom"/>
          </w:tcPr>
          <w:p>
            <w:pPr>
              <w:spacing w:after="0"/>
              <w:rPr>
                <w:sz w:val="1"/>
                <w:szCs w:val="1"/>
                <w:color w:val="auto"/>
              </w:rPr>
            </w:pPr>
          </w:p>
        </w:tc>
      </w:tr>
      <w:tr>
        <w:trPr>
          <w:trHeight w:val="24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1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57,802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54,107</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Movement of allowance for expected credit losses was as follows:</w:t>
            </w:r>
          </w:p>
        </w:tc>
        <w:tc>
          <w:tcPr>
            <w:tcW w:w="1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5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10"/>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6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840" w:type="dxa"/>
            <w:vAlign w:val="bottom"/>
            <w:tcBorders>
              <w:bottom w:val="single" w:sz="8" w:color="CCEEFF"/>
            </w:tcBorders>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0" w:type="dxa"/>
            <w:vAlign w:val="bottom"/>
          </w:tcPr>
          <w:p>
            <w:pPr>
              <w:spacing w:after="0"/>
              <w:rPr>
                <w:sz w:val="1"/>
                <w:szCs w:val="1"/>
                <w:color w:val="auto"/>
              </w:rPr>
            </w:pPr>
          </w:p>
        </w:tc>
      </w:tr>
      <w:tr>
        <w:trPr>
          <w:trHeight w:val="24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(credit) for expected credit losses</w:t>
            </w:r>
          </w:p>
        </w:tc>
        <w:tc>
          <w:tcPr>
            <w:tcW w:w="1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Bad debt write-offs</w:t>
            </w:r>
          </w:p>
        </w:tc>
        <w:tc>
          <w:tcPr>
            <w:tcW w:w="1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64"/>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72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0" w:type="dxa"/>
            <w:vAlign w:val="bottom"/>
          </w:tcPr>
          <w:p>
            <w:pPr>
              <w:spacing w:after="0"/>
              <w:rPr>
                <w:sz w:val="1"/>
                <w:szCs w:val="1"/>
                <w:color w:val="auto"/>
              </w:rPr>
            </w:pPr>
          </w:p>
        </w:tc>
      </w:tr>
      <w:tr>
        <w:trPr>
          <w:trHeight w:val="24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Advances to suppliers</w:t>
            </w:r>
          </w:p>
        </w:tc>
        <w:tc>
          <w:tcPr>
            <w:tcW w:w="1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6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7,842</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2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rPr>
              <w:t>7</w:t>
            </w:r>
          </w:p>
        </w:tc>
        <w:tc>
          <w:tcPr>
            <w:tcW w:w="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526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24"/>
                <w:szCs w:val="24"/>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63"/>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Automobiles </w:t>
            </w:r>
            <w:r>
              <w:rPr>
                <w:rFonts w:ascii="Times New Roman" w:cs="Times New Roman" w:eastAsia="Times New Roman" w:hAnsi="Times New Roman"/>
                <w:sz w:val="23"/>
                <w:szCs w:val="23"/>
                <w:color w:val="auto"/>
                <w:vertAlign w:val="superscript"/>
              </w:rPr>
              <w:t>(1)</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50,565</w:t>
            </w:r>
          </w:p>
        </w:tc>
        <w:tc>
          <w:tcPr>
            <w:tcW w:w="0" w:type="dxa"/>
            <w:vAlign w:val="bottom"/>
          </w:tcPr>
          <w:p>
            <w:pPr>
              <w:spacing w:after="0"/>
              <w:rPr>
                <w:sz w:val="1"/>
                <w:szCs w:val="1"/>
                <w:color w:val="auto"/>
              </w:rPr>
            </w:pPr>
          </w:p>
        </w:tc>
      </w:tr>
      <w:tr>
        <w:trPr>
          <w:trHeight w:val="24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63,045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Building improvements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22,709</w:t>
            </w:r>
          </w:p>
        </w:tc>
        <w:tc>
          <w:tcPr>
            <w:tcW w:w="0" w:type="dxa"/>
            <w:vAlign w:val="bottom"/>
          </w:tcPr>
          <w:p>
            <w:pPr>
              <w:spacing w:after="0"/>
              <w:rPr>
                <w:sz w:val="1"/>
                <w:szCs w:val="1"/>
                <w:color w:val="auto"/>
              </w:rPr>
            </w:pPr>
          </w:p>
        </w:tc>
      </w:tr>
      <w:tr>
        <w:trPr>
          <w:trHeight w:val="24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49,929</w:t>
            </w:r>
          </w:p>
        </w:tc>
        <w:tc>
          <w:tcPr>
            <w:tcW w:w="0" w:type="dxa"/>
            <w:vAlign w:val="bottom"/>
          </w:tcPr>
          <w:p>
            <w:pPr>
              <w:spacing w:after="0"/>
              <w:rPr>
                <w:sz w:val="1"/>
                <w:szCs w:val="1"/>
                <w:color w:val="auto"/>
              </w:rPr>
            </w:pPr>
          </w:p>
        </w:tc>
      </w:tr>
      <w:tr>
        <w:trPr>
          <w:trHeight w:val="27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Machinery and equipment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13,216</w:t>
            </w:r>
          </w:p>
        </w:tc>
        <w:tc>
          <w:tcPr>
            <w:tcW w:w="0" w:type="dxa"/>
            <w:vAlign w:val="bottom"/>
          </w:tcPr>
          <w:p>
            <w:pPr>
              <w:spacing w:after="0"/>
              <w:rPr>
                <w:sz w:val="1"/>
                <w:szCs w:val="1"/>
                <w:color w:val="auto"/>
              </w:rPr>
            </w:pPr>
          </w:p>
        </w:tc>
      </w:tr>
      <w:tr>
        <w:trPr>
          <w:trHeight w:val="270"/>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10,370</w:t>
            </w:r>
          </w:p>
        </w:tc>
        <w:tc>
          <w:tcPr>
            <w:tcW w:w="0" w:type="dxa"/>
            <w:vAlign w:val="bottom"/>
          </w:tcPr>
          <w:p>
            <w:pPr>
              <w:spacing w:after="0"/>
              <w:rPr>
                <w:sz w:val="1"/>
                <w:szCs w:val="1"/>
                <w:color w:val="auto"/>
              </w:rPr>
            </w:pPr>
          </w:p>
        </w:tc>
      </w:tr>
      <w:tr>
        <w:trPr>
          <w:trHeight w:val="237"/>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Subtotal</w:t>
            </w:r>
          </w:p>
        </w:tc>
        <w:tc>
          <w:tcPr>
            <w:tcW w:w="24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223,751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210,232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(60,660)</w:t>
            </w:r>
          </w:p>
        </w:tc>
        <w:tc>
          <w:tcPr>
            <w:tcW w:w="0" w:type="dxa"/>
            <w:vAlign w:val="bottom"/>
          </w:tcPr>
          <w:p>
            <w:pPr>
              <w:spacing w:after="0"/>
              <w:rPr>
                <w:sz w:val="1"/>
                <w:szCs w:val="1"/>
                <w:color w:val="auto"/>
              </w:rPr>
            </w:pPr>
          </w:p>
        </w:tc>
      </w:tr>
      <w:tr>
        <w:trPr>
          <w:trHeight w:val="26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160,412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149,572</w:t>
            </w:r>
          </w:p>
        </w:tc>
        <w:tc>
          <w:tcPr>
            <w:tcW w:w="0" w:type="dxa"/>
            <w:vAlign w:val="bottom"/>
          </w:tcPr>
          <w:p>
            <w:pPr>
              <w:spacing w:after="0"/>
              <w:rPr>
                <w:sz w:val="1"/>
                <w:szCs w:val="1"/>
                <w:color w:val="auto"/>
              </w:rPr>
            </w:pPr>
          </w:p>
        </w:tc>
      </w:tr>
      <w:tr>
        <w:trPr>
          <w:trHeight w:val="21"/>
        </w:trPr>
        <w:tc>
          <w:tcPr>
            <w:tcW w:w="7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7"/>
        </w:trPr>
        <w:tc>
          <w:tcPr>
            <w:tcW w:w="7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right="20" w:hanging="332"/>
        <w:spacing w:after="0" w:line="258" w:lineRule="auto"/>
        <w:tabs>
          <w:tab w:leader="none" w:pos="374"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and accumulated depreciation of property and equipment related to finance leases was $46.1 million and $15.6 million, respectively, at March 31, 2025 and $36.1 million and $14.3 million, respectively, at December 31, 2024. The total future minimum lease payments under all finance leases as of March 31, 2025 is $47.9 million.</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$2.9 million and $2.6 million for the three months ended March 31, 2025 and 2024,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investments consisted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8"/>
                <w:szCs w:val="18"/>
                <w:color w:val="auto"/>
              </w:rPr>
            </w:pPr>
          </w:p>
        </w:tc>
        <w:tc>
          <w:tcPr>
            <w:tcW w:w="2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Ownership as of March</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9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7"/>
              </w:rPr>
              <w:t>31,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Pr>
          <w:p>
            <w:pPr>
              <w:spacing w:after="0"/>
              <w:rPr>
                <w:sz w:val="16"/>
                <w:szCs w:val="16"/>
                <w:color w:val="auto"/>
              </w:rPr>
            </w:pPr>
          </w:p>
        </w:tc>
        <w:tc>
          <w:tcPr>
            <w:tcW w:w="17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30"/>
        </w:trPr>
        <w:tc>
          <w:tcPr>
            <w:tcW w:w="5160" w:type="dxa"/>
            <w:vAlign w:val="bottom"/>
            <w:vMerge w:val="continue"/>
          </w:tcPr>
          <w:p>
            <w:pPr>
              <w:spacing w:after="0"/>
              <w:rPr>
                <w:sz w:val="19"/>
                <w:szCs w:val="19"/>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Asahi Food, Inc. (“Asahi”)</w:t>
            </w:r>
          </w:p>
        </w:tc>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Pt. Tamron Akuatik Produk Industri (“Tamron”)</w:t>
            </w:r>
          </w:p>
        </w:tc>
        <w:tc>
          <w:tcPr>
            <w:tcW w:w="19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investment in Tamron is accounted for using the measurement alternative under Accounting Standards Codification (“ASC”) Topic 321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Securities</w:t>
      </w:r>
      <w:r>
        <w:rPr>
          <w:rFonts w:ascii="Times New Roman" w:cs="Times New Roman" w:eastAsia="Times New Roman" w:hAnsi="Times New Roman"/>
          <w:sz w:val="18"/>
          <w:szCs w:val="18"/>
          <w:color w:val="auto"/>
        </w:rPr>
        <w:t>, which is measured at cost, less any impairment, plus or minus changes resulting from observable price changes in orderly transactions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identical or similar investments, if any. The investment in Asahi is accounted for under the equity method due to the fact that the Company has significant influence but does not exercise control over this investee. The Company determined there was no impairment for the three months ended March 31, 2025 and 2024 for these investments.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w:t>
            </w:r>
          </w:p>
        </w:tc>
        <w:tc>
          <w:tcPr>
            <w:tcW w:w="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50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Pr>
          <w:p>
            <w:pPr>
              <w:spacing w:after="0"/>
              <w:rPr>
                <w:sz w:val="24"/>
                <w:szCs w:val="24"/>
                <w:color w:val="auto"/>
              </w:rPr>
            </w:pPr>
          </w:p>
        </w:tc>
        <w:tc>
          <w:tcPr>
            <w:tcW w:w="20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40" w:type="dxa"/>
            <w:vAlign w:val="bottom"/>
          </w:tcPr>
          <w:p>
            <w:pPr>
              <w:spacing w:after="0"/>
              <w:rPr>
                <w:sz w:val="24"/>
                <w:szCs w:val="24"/>
                <w:color w:val="auto"/>
              </w:rPr>
            </w:pPr>
          </w:p>
        </w:tc>
        <w:tc>
          <w:tcPr>
            <w:tcW w:w="20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7,497</w:t>
            </w: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 and fees</w:t>
            </w: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Self-insurance liability</w:t>
            </w:r>
          </w:p>
        </w:tc>
        <w:tc>
          <w:tcPr>
            <w:tcW w:w="3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 from customers</w:t>
            </w: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w:t>
            </w:r>
          </w:p>
        </w:tc>
      </w:tr>
      <w:tr>
        <w:trPr>
          <w:trHeight w:val="229"/>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4,261</w:t>
            </w: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18,001</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5 - Fair Value Measurements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hierarchy for its assets and liabilities measured at fair value on a recurring basis as of the dates indicated: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8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17"/>
        </w:trPr>
        <w:tc>
          <w:tcPr>
            <w:tcW w:w="1880" w:type="dxa"/>
            <w:vAlign w:val="bottom"/>
          </w:tcPr>
          <w:p>
            <w:pPr>
              <w:spacing w:after="0"/>
              <w:rPr>
                <w:sz w:val="10"/>
                <w:szCs w:val="10"/>
                <w:color w:val="auto"/>
              </w:rPr>
            </w:pPr>
          </w:p>
        </w:tc>
        <w:tc>
          <w:tcPr>
            <w:tcW w:w="1080" w:type="dxa"/>
            <w:vAlign w:val="bottom"/>
            <w:gridSpan w:val="2"/>
          </w:tcPr>
          <w:p>
            <w:pPr>
              <w:jc w:val="center"/>
              <w:spacing w:after="0" w:line="117" w:lineRule="exact"/>
              <w:rPr>
                <w:sz w:val="20"/>
                <w:szCs w:val="20"/>
                <w:color w:val="auto"/>
              </w:rPr>
            </w:pPr>
            <w:r>
              <w:rPr>
                <w:rFonts w:ascii="Times New Roman" w:cs="Times New Roman" w:eastAsia="Times New Roman" w:hAnsi="Times New Roman"/>
                <w:sz w:val="13"/>
                <w:szCs w:val="13"/>
                <w:b w:val="1"/>
                <w:bCs w:val="1"/>
                <w:color w:val="auto"/>
                <w:w w:val="97"/>
              </w:rPr>
              <w:t>Quoted Prices in</w:t>
            </w:r>
          </w:p>
        </w:tc>
        <w:tc>
          <w:tcPr>
            <w:tcW w:w="100" w:type="dxa"/>
            <w:vAlign w:val="bottom"/>
          </w:tcPr>
          <w:p>
            <w:pPr>
              <w:spacing w:after="0"/>
              <w:rPr>
                <w:sz w:val="10"/>
                <w:szCs w:val="10"/>
                <w:color w:val="auto"/>
              </w:rPr>
            </w:pPr>
          </w:p>
        </w:tc>
        <w:tc>
          <w:tcPr>
            <w:tcW w:w="11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Significant Other</w:t>
            </w:r>
          </w:p>
        </w:tc>
        <w:tc>
          <w:tcPr>
            <w:tcW w:w="140" w:type="dxa"/>
            <w:vAlign w:val="bottom"/>
          </w:tcPr>
          <w:p>
            <w:pPr>
              <w:spacing w:after="0"/>
              <w:rPr>
                <w:sz w:val="10"/>
                <w:szCs w:val="10"/>
                <w:color w:val="auto"/>
              </w:rPr>
            </w:pPr>
          </w:p>
        </w:tc>
        <w:tc>
          <w:tcPr>
            <w:tcW w:w="960" w:type="dxa"/>
            <w:vAlign w:val="bottom"/>
          </w:tcPr>
          <w:p>
            <w:pPr>
              <w:jc w:val="center"/>
              <w:ind w:right="65"/>
              <w:spacing w:after="0" w:line="117"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center"/>
              <w:spacing w:after="0" w:line="117" w:lineRule="exact"/>
              <w:rPr>
                <w:sz w:val="20"/>
                <w:szCs w:val="20"/>
                <w:color w:val="auto"/>
              </w:rPr>
            </w:pPr>
            <w:r>
              <w:rPr>
                <w:rFonts w:ascii="Times New Roman" w:cs="Times New Roman" w:eastAsia="Times New Roman" w:hAnsi="Times New Roman"/>
                <w:sz w:val="13"/>
                <w:szCs w:val="13"/>
                <w:b w:val="1"/>
                <w:bCs w:val="1"/>
                <w:color w:val="auto"/>
                <w:w w:val="97"/>
              </w:rPr>
              <w:t>Quoted Prices in</w:t>
            </w:r>
          </w:p>
        </w:tc>
        <w:tc>
          <w:tcPr>
            <w:tcW w:w="100" w:type="dxa"/>
            <w:vAlign w:val="bottom"/>
          </w:tcPr>
          <w:p>
            <w:pPr>
              <w:spacing w:after="0"/>
              <w:rPr>
                <w:sz w:val="10"/>
                <w:szCs w:val="10"/>
                <w:color w:val="auto"/>
              </w:rPr>
            </w:pP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Significant Other</w:t>
            </w:r>
          </w:p>
        </w:tc>
        <w:tc>
          <w:tcPr>
            <w:tcW w:w="140" w:type="dxa"/>
            <w:vAlign w:val="bottom"/>
          </w:tcPr>
          <w:p>
            <w:pPr>
              <w:spacing w:after="0"/>
              <w:rPr>
                <w:sz w:val="10"/>
                <w:szCs w:val="10"/>
                <w:color w:val="auto"/>
              </w:rPr>
            </w:pPr>
          </w:p>
        </w:tc>
        <w:tc>
          <w:tcPr>
            <w:tcW w:w="940" w:type="dxa"/>
            <w:vAlign w:val="bottom"/>
          </w:tcPr>
          <w:p>
            <w:pPr>
              <w:jc w:val="center"/>
              <w:ind w:right="85"/>
              <w:spacing w:after="0" w:line="117"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80" w:type="dxa"/>
            <w:vAlign w:val="bottom"/>
          </w:tcPr>
          <w:p>
            <w:pPr>
              <w:spacing w:after="0"/>
              <w:rPr>
                <w:sz w:val="10"/>
                <w:szCs w:val="10"/>
                <w:color w:val="auto"/>
              </w:rPr>
            </w:pPr>
          </w:p>
        </w:tc>
        <w:tc>
          <w:tcPr>
            <w:tcW w:w="1180" w:type="dxa"/>
            <w:vAlign w:val="bottom"/>
            <w:gridSpan w:val="3"/>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Active Markets for</w:t>
            </w:r>
          </w:p>
        </w:tc>
        <w:tc>
          <w:tcPr>
            <w:tcW w:w="118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Unobservable</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3"/>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Active Markets for</w:t>
            </w:r>
          </w:p>
        </w:tc>
        <w:tc>
          <w:tcPr>
            <w:tcW w:w="12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Unobservable</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Identical Assets</w:t>
            </w:r>
          </w:p>
        </w:tc>
        <w:tc>
          <w:tcPr>
            <w:tcW w:w="11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Observable Inputs</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3"/>
              </w:rPr>
              <w:t>Inputs</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Identical Assets</w:t>
            </w:r>
          </w:p>
        </w:tc>
        <w:tc>
          <w:tcPr>
            <w:tcW w:w="120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Observable Inputs</w:t>
            </w: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5"/>
          </w:tcPr>
          <w:p>
            <w:pPr>
              <w:ind w:left="46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swaps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29"/>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swaps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the provisions of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which clarifies the definition of fair value, prescribes methods for measuring fair value, and establishes a fair value hierarchy to classify the inputs used in measuring fair value as follows:</w:t>
      </w:r>
    </w:p>
    <w:p>
      <w:pPr>
        <w:spacing w:after="0" w:line="187"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are unadjusted quoted prices in active markets for identical assets or liabilities available at the measurement date.</w:t>
      </w:r>
    </w:p>
    <w:p>
      <w:pPr>
        <w:spacing w:after="0" w:line="252" w:lineRule="exact"/>
        <w:rPr>
          <w:rFonts w:ascii="Times New Roman" w:cs="Times New Roman" w:eastAsia="Times New Roman" w:hAnsi="Times New Roman"/>
          <w:sz w:val="18"/>
          <w:szCs w:val="18"/>
          <w:color w:val="auto"/>
        </w:rPr>
      </w:pPr>
    </w:p>
    <w:p>
      <w:pPr>
        <w:jc w:val="both"/>
        <w:ind w:firstLine="8"/>
        <w:spacing w:after="0" w:line="266" w:lineRule="auto"/>
        <w:tabs>
          <w:tab w:leader="none" w:pos="6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are unadjusted quoted prices for similar assets and liabilities in active markets, quoted prices for identical or similar assets and liabilities in markets that are not active, inputs other than quoted prices that are observable, and inputs derived from or corroborated by observable market data.</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6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are unobservable inputs which reflect the reporting entity’s own assumptions about what assumptions market participants would use in pricing the asset or liability based on the best available information.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transfers of assets or liabilities between Level 1, Level 2, and Level 3 of the fair value hierarchy will be recognized at the end of the reporting period in which the transfer occurs. There were no transfers between fair value levels in any of the periods presented herein.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amounts reported in the condensed consolidated balance sheets for cash, accounts receivable, other current assets, accounts payable, checks issued not presented for payment and accrued expenses and other liabilities approximate their fair value based on the short-term maturity of these instruments.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7 - Derivative Financial Instruments</w:t>
      </w:r>
      <w:r>
        <w:rPr>
          <w:rFonts w:ascii="Times New Roman" w:cs="Times New Roman" w:eastAsia="Times New Roman" w:hAnsi="Times New Roman"/>
          <w:sz w:val="18"/>
          <w:szCs w:val="18"/>
          <w:color w:val="auto"/>
        </w:rPr>
        <w:t xml:space="preserve"> for additional information regarding the Company’s interest rate swaps.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 w:name="page12"/>
    <w:bookmarkEnd w:id="11"/>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Carrying Value and Estimated Fair Value of Outstanding Debt </w:t>
      </w:r>
      <w:r>
        <w:rPr>
          <w:rFonts w:ascii="Times New Roman" w:cs="Times New Roman" w:eastAsia="Times New Roman" w:hAnsi="Times New Roman"/>
          <w:sz w:val="18"/>
          <w:szCs w:val="18"/>
          <w:color w:val="auto"/>
        </w:rPr>
        <w:t>- The following table presents the carrying value and estimated fair value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outstanding debt as described in </w:t>
      </w:r>
      <w:r>
        <w:rPr>
          <w:rFonts w:ascii="Times New Roman" w:cs="Times New Roman" w:eastAsia="Times New Roman" w:hAnsi="Times New Roman"/>
          <w:sz w:val="18"/>
          <w:szCs w:val="18"/>
          <w:i w:val="1"/>
          <w:iCs w:val="1"/>
          <w:color w:val="auto"/>
        </w:rPr>
        <w:t>Note 8 - Debt</w:t>
      </w:r>
      <w:r>
        <w:rPr>
          <w:rFonts w:ascii="Times New Roman" w:cs="Times New Roman" w:eastAsia="Times New Roman" w:hAnsi="Times New Roman"/>
          <w:sz w:val="18"/>
          <w:szCs w:val="18"/>
          <w:color w:val="auto"/>
        </w:rPr>
        <w:t>, including the current portion, as of the dates indicated: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11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Carrying Value</w:t>
            </w:r>
          </w:p>
        </w:tc>
      </w:tr>
      <w:tr>
        <w:trPr>
          <w:trHeight w:val="183"/>
        </w:trPr>
        <w:tc>
          <w:tcPr>
            <w:tcW w:w="20" w:type="dxa"/>
            <w:vAlign w:val="bottom"/>
          </w:tcPr>
          <w:p>
            <w:pPr>
              <w:spacing w:after="0"/>
              <w:rPr>
                <w:sz w:val="15"/>
                <w:szCs w:val="15"/>
                <w:color w:val="auto"/>
              </w:rPr>
            </w:pPr>
          </w:p>
        </w:tc>
        <w:tc>
          <w:tcPr>
            <w:tcW w:w="460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March 31, 2025</w:t>
            </w: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Fixed rate debt:</w:t>
            </w:r>
          </w:p>
        </w:tc>
        <w:tc>
          <w:tcPr>
            <w:tcW w:w="10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Bank of America</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0"/>
        </w:trPr>
        <w:tc>
          <w:tcPr>
            <w:tcW w:w="20" w:type="dxa"/>
            <w:vAlign w:val="bottom"/>
            <w:shd w:val="clear" w:color="auto" w:fill="CCEEFF"/>
          </w:tcPr>
          <w:p>
            <w:pPr>
              <w:spacing w:after="0"/>
              <w:rPr>
                <w:sz w:val="18"/>
                <w:szCs w:val="18"/>
                <w:color w:val="auto"/>
              </w:rPr>
            </w:pPr>
          </w:p>
        </w:tc>
        <w:tc>
          <w:tcPr>
            <w:tcW w:w="46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Variable rate debt:</w:t>
            </w: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3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JPMorgan Chase</w:t>
            </w:r>
          </w:p>
        </w:tc>
        <w:tc>
          <w:tcPr>
            <w:tcW w:w="3240" w:type="dxa"/>
            <w:vAlign w:val="bottom"/>
            <w:tcBorders>
              <w:top w:val="single" w:sz="8" w:color="CCEEFF"/>
            </w:tcBorders>
            <w:gridSpan w:val="2"/>
          </w:tcPr>
          <w:p>
            <w:pPr>
              <w:spacing w:after="0"/>
              <w:rPr>
                <w:sz w:val="19"/>
                <w:szCs w:val="19"/>
                <w:color w:val="auto"/>
              </w:rPr>
            </w:pPr>
          </w:p>
        </w:tc>
        <w:tc>
          <w:tcPr>
            <w:tcW w:w="1080" w:type="dxa"/>
            <w:vAlign w:val="bottom"/>
            <w:tcBorders>
              <w:top w:val="single" w:sz="8" w:color="CCEEFF"/>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99,785</w:t>
            </w:r>
          </w:p>
        </w:tc>
        <w:tc>
          <w:tcPr>
            <w:tcW w:w="40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99,785</w:t>
            </w: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America</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r>
      <w:tr>
        <w:trPr>
          <w:trHeight w:val="230"/>
        </w:trPr>
        <w:tc>
          <w:tcPr>
            <w:tcW w:w="20" w:type="dxa"/>
            <w:vAlign w:val="bottom"/>
          </w:tcPr>
          <w:p>
            <w:pPr>
              <w:spacing w:after="0"/>
              <w:rPr>
                <w:sz w:val="19"/>
                <w:szCs w:val="19"/>
                <w:color w:val="auto"/>
              </w:rPr>
            </w:pPr>
          </w:p>
        </w:tc>
        <w:tc>
          <w:tcPr>
            <w:tcW w:w="4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East West Bank</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w:t>
            </w:r>
          </w:p>
        </w:tc>
      </w:tr>
      <w:tr>
        <w:trPr>
          <w:trHeight w:val="270"/>
        </w:trPr>
        <w:tc>
          <w:tcPr>
            <w:tcW w:w="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46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Fixed rate debt:</w:t>
            </w:r>
          </w:p>
        </w:tc>
        <w:tc>
          <w:tcPr>
            <w:tcW w:w="10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Bank of America</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finance institutions</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20" w:type="dxa"/>
            <w:vAlign w:val="bottom"/>
          </w:tcPr>
          <w:p>
            <w:pPr>
              <w:spacing w:after="0"/>
              <w:rPr>
                <w:sz w:val="16"/>
                <w:szCs w:val="16"/>
                <w:color w:val="auto"/>
              </w:rPr>
            </w:pPr>
          </w:p>
        </w:tc>
        <w:tc>
          <w:tcPr>
            <w:tcW w:w="46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Variable rate debt:</w:t>
            </w: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JPMorgan Chase</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101,040</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101,040</w:t>
            </w:r>
          </w:p>
        </w:tc>
      </w:tr>
      <w:tr>
        <w:trPr>
          <w:trHeight w:val="229"/>
        </w:trPr>
        <w:tc>
          <w:tcPr>
            <w:tcW w:w="20" w:type="dxa"/>
            <w:vAlign w:val="bottom"/>
          </w:tcPr>
          <w:p>
            <w:pPr>
              <w:spacing w:after="0"/>
              <w:rPr>
                <w:sz w:val="19"/>
                <w:szCs w:val="19"/>
                <w:color w:val="auto"/>
              </w:rPr>
            </w:pPr>
          </w:p>
        </w:tc>
        <w:tc>
          <w:tcPr>
            <w:tcW w:w="4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Bank of America</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w:t>
            </w:r>
          </w:p>
        </w:tc>
      </w:tr>
      <w:tr>
        <w:trPr>
          <w:trHeight w:val="230"/>
        </w:trPr>
        <w:tc>
          <w:tcPr>
            <w:tcW w:w="20" w:type="dxa"/>
            <w:vAlign w:val="bottom"/>
            <w:shd w:val="clear" w:color="auto" w:fill="CCEEFF"/>
          </w:tcPr>
          <w:p>
            <w:pPr>
              <w:spacing w:after="0"/>
              <w:rPr>
                <w:sz w:val="19"/>
                <w:szCs w:val="19"/>
                <w:color w:val="auto"/>
              </w:rPr>
            </w:pPr>
          </w:p>
        </w:tc>
        <w:tc>
          <w:tcPr>
            <w:tcW w:w="4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East West Bank</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w:t>
            </w: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 of the variable rate debt approximates its fair value because of the variability of interest rates associated with these instruments. For the Company’s fixed rate debt, the fair values were estimated using discounted cash flow analyses, based on the current incremental borrowing rates for similar types of borrowing arrangements.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8 - Debt</w:t>
      </w:r>
      <w:r>
        <w:rPr>
          <w:rFonts w:ascii="Times New Roman" w:cs="Times New Roman" w:eastAsia="Times New Roman" w:hAnsi="Times New Roman"/>
          <w:sz w:val="18"/>
          <w:szCs w:val="18"/>
          <w:color w:val="auto"/>
        </w:rPr>
        <w:t xml:space="preserve"> for additional information regarding the Company’s debt.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fair value of certain assets on a nonrecurring basis when events or changes in circumstances indicate that the carrying value of the assets may not be recoverable. No adjustments to fair value from the write-down of asset values due to impairment were made during the three months ended March 31, 2025 and 2024.</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further disclosed in </w:t>
      </w:r>
      <w:r>
        <w:rPr>
          <w:rFonts w:ascii="Times New Roman" w:cs="Times New Roman" w:eastAsia="Times New Roman" w:hAnsi="Times New Roman"/>
          <w:sz w:val="18"/>
          <w:szCs w:val="18"/>
          <w:i w:val="1"/>
          <w:iCs w:val="1"/>
          <w:color w:val="auto"/>
        </w:rPr>
        <w:t>Note 6 - Goodwill and Acquired Intangible Assets,</w:t>
      </w:r>
      <w:r>
        <w:rPr>
          <w:rFonts w:ascii="Times New Roman" w:cs="Times New Roman" w:eastAsia="Times New Roman" w:hAnsi="Times New Roman"/>
          <w:sz w:val="18"/>
          <w:szCs w:val="18"/>
          <w:color w:val="auto"/>
        </w:rPr>
        <w:t xml:space="preserve"> we performed a quantitative goodwill impairment analysis as of December 31, 2024. The results of testing as of December 31, 2024 concluded that the estimated fair value of our one reporting unit fell short of carrying value, and therefore impairment existed as of that date. Goodwill impairment charges of $46.3 million were recorded in the fourth quarter of the year ended December 31, 2024. The calculation of the fair value of our reporting unit was determined using Level 3 fair value measurements due to its use of internal projections and unobservable measurement inputs.</w:t>
      </w: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assets that were carried at nonrecurring fair value at March 31, 2025. There were no assets carried at nonrecurring fair value other than goodwill at December 31, 2024.</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6 - Goodwill and Acquired Intangible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00" w:lineRule="exact"/>
        <w:rPr>
          <w:sz w:val="20"/>
          <w:szCs w:val="20"/>
          <w:color w:val="auto"/>
        </w:rPr>
      </w:pPr>
    </w:p>
    <w:p>
      <w:pPr>
        <w:spacing w:after="0" w:line="2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is only one reporting unit at March 31, 2025 and December 31, 2024. The Company tests goodwill for impairment at least annually, as of December 31, or whenever events or changes in circumstances indicated goodwill might be impaired.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continued declines in the level of stock price, the Company performed a quantitative impairment assessment as of December 31, 2024. The results of the testing as of December 31, 2024, concluded that the estimated fair value of the reporting unit fell short of carrying value, and therefore impairment existed as of that date. A goodwill impairment charge of $46.3 million was recorded in the fourth quarter during the year ended December 31, 2024.</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December 31, 2024 impairment test, the Company used a combination of discounted cash flow (“DCF”) model and market approaches, such as public company comparable analysis and comparable acquisitions analysis to determine fair value of the reporting unit. The income approach and market approaches were weighted equally to estimate fair value. The income approach requires detailed forecasts of cash flows, including assumptions such as revenue growth rates, gross profit margins, distribution, selling and administrative expenses, among other assumptions, and an estimate of weighted-average cost of capital which the Company believes approximate the assumptions from a market participant’s perspective. The market approaches are primarily impacted by an enterprise value multiple of EBITDA. These estimates incorporate many uncertain factors which could be impacted by changes in market conditions, interest rates, growth rate, tax rates, costs, customer behavior, regulatory environment and other macroeconomic changes. In addition, the Company considered the reasonableness of the fair value of the reporting unit by assessing the implied enterprise value control premium based on the Company’s market capitalization. The Company determined that the implied control premium was reasonable which corroborates the Company’s fair value estimates.</w:t>
      </w:r>
    </w:p>
    <w:p>
      <w:pPr>
        <w:spacing w:after="0" w:line="2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Assumptions used in impairment testing are made at a point in time and require significant judgment; therefore, they are subject to change based on the facts and circumstances present at each impairment test date. Additionally, these assumptions are generally interdependent and do not change in isolation.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in future periods, the financial performance of the reporting unit does not meet forecasted expectations, or a prolonged decline occurs in the market price of the Company’s common stock, it may cause a change in the results of the impairment assessment and, as such, could result in further impairment of goodwill.</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that there were no events or circumstances during the three months ended March 31, 2025 that would more likely than not reduce the fair value of the reporting unit below its carrying value. Goodwill was $38.8 million as of March 31, 2025 and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Acquired Intangible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intangible assets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14"/>
        </w:trPr>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20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Net</w:t>
            </w:r>
          </w:p>
        </w:tc>
      </w:tr>
      <w:tr>
        <w:trPr>
          <w:trHeight w:val="216"/>
        </w:trPr>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Carrying</w:t>
            </w:r>
          </w:p>
        </w:tc>
      </w:tr>
      <w:tr>
        <w:trPr>
          <w:trHeight w:val="265"/>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43"/>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Non-competition agreement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4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24,742</w:t>
            </w:r>
          </w:p>
        </w:tc>
      </w:tr>
      <w:tr>
        <w:trPr>
          <w:trHeight w:val="27"/>
        </w:trPr>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133,973</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136,615</w:t>
            </w:r>
          </w:p>
        </w:tc>
      </w:tr>
      <w:tr>
        <w:trPr>
          <w:trHeight w:val="26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233,365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(75,709)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157,656</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233,365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(71,839)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161,526</w:t>
            </w:r>
          </w:p>
        </w:tc>
      </w:tr>
      <w:tr>
        <w:trPr>
          <w:trHeight w:val="20"/>
        </w:trPr>
        <w:tc>
          <w:tcPr>
            <w:tcW w:w="2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acquired intangible assets was $3.9 million and $4.1 million for the three months ended March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7 - Derivative Financial Instruments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 utilizes interest rate swaps (“IRS”) for the sole purpose of mitigating interest rate fluctuation risk associated with floating rate debt instruments (as defined in </w:t>
      </w:r>
      <w:r>
        <w:rPr>
          <w:rFonts w:ascii="Times New Roman" w:cs="Times New Roman" w:eastAsia="Times New Roman" w:hAnsi="Times New Roman"/>
          <w:sz w:val="18"/>
          <w:szCs w:val="18"/>
          <w:i w:val="1"/>
          <w:iCs w:val="1"/>
          <w:color w:val="auto"/>
        </w:rPr>
        <w:t>Note 8 - Debt</w:t>
      </w:r>
      <w:r>
        <w:rPr>
          <w:rFonts w:ascii="Times New Roman" w:cs="Times New Roman" w:eastAsia="Times New Roman" w:hAnsi="Times New Roman"/>
          <w:sz w:val="18"/>
          <w:szCs w:val="18"/>
          <w:color w:val="auto"/>
        </w:rPr>
        <w:t>). The Company does not use any other derivative financial instruments for trading or speculative purposes.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20, 2019, HF Foods entered into two IRS contracts with East West Bank (the “EWB IRS”) for initial notional amounts of $1.1 million and $2.6 million, respectively. On April 20, 2023, the Company amended the corresponding mortgage term loans, which pegged the two mortgage term loans to 1-month Term SOFR (Secured Overnight Financing Rate) + 2.29% per annum for the remaining duration of the term loans. The amended EWB IRS contracts fixed the two term loans at 4.23% per annum until maturity in September 2029.</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19, 2019, HF Foods entered into an IRS contract with Bank of America (the “BOA IRS”) for an initial notional amount of $2.7 million in conjunction with a newly contracted mortgage term loan of corresponding amount. On December 19, 2021, the Company entered into the Second Amendment to Loan Agreement, which pegged the mortgage term loan to Term SOFR + 2.5%</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The BOA IRS was modified accordingly to fix the SOFR based loan to approximately 4.50%. The term loan and corresponding BOA IRS contract mature in December 2029.</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15, 2023, the Company entered into an amortizing IRS contract with JPMorgan Chase for an initial notional amount of $120.0 million, effective from March 1, 2023 and expiring in March 2028, as a means to partially hedge its existing floating rate loans exposure. Pursuant to the agreement, the Company will pay the swap counterparty a fixed rate of 4.11% in exchange for floating payments based on Term SOFR.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evaluated the aforementioned IRS contracts currently in place and did not designate those as cash flow hedges. Hence, the fair value changes of these IRS contracts are accounted for and recognized as a change in fair value of interest rate swap contracts in the condensed consolidated statements of operations and comprehensive loss.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the Company determined that the fair values of the IRS contracts were $0.4 million in an asset position and $1.0 million in a liability position. As of December 31, 2024, the fair values of the IRS contracts were $0.5 million in an asset position and none in a liability position. The Company includes these in other long-term assets and other long-term liabilities, respectively, on the condensed consolidated balance sheets.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at March 31, 2025 and December 31, 2024 is summarized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48"/>
        </w:trPr>
        <w:tc>
          <w:tcPr>
            <w:tcW w:w="2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Interest Rate at</w:t>
            </w: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65"/>
        </w:trPr>
        <w:tc>
          <w:tcPr>
            <w:tcW w:w="27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Bank Name</w:t>
            </w:r>
          </w:p>
        </w:tc>
        <w:tc>
          <w:tcPr>
            <w:tcW w:w="120" w:type="dxa"/>
            <w:vAlign w:val="bottom"/>
            <w:tcBorders>
              <w:bottom w:val="single" w:sz="8" w:color="CCEEFF"/>
            </w:tcBorders>
          </w:tcPr>
          <w:p>
            <w:pPr>
              <w:spacing w:after="0"/>
              <w:rPr>
                <w:sz w:val="23"/>
                <w:szCs w:val="23"/>
                <w:color w:val="auto"/>
              </w:rPr>
            </w:pP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00" w:type="dxa"/>
            <w:vAlign w:val="bottom"/>
            <w:tcBorders>
              <w:bottom w:val="single" w:sz="8" w:color="CCEEFF"/>
            </w:tcBorders>
          </w:tcPr>
          <w:p>
            <w:pPr>
              <w:spacing w:after="0"/>
              <w:rPr>
                <w:sz w:val="23"/>
                <w:szCs w:val="23"/>
                <w:color w:val="auto"/>
              </w:rPr>
            </w:pPr>
          </w:p>
        </w:tc>
        <w:tc>
          <w:tcPr>
            <w:tcW w:w="17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64"/>
        </w:trPr>
        <w:tc>
          <w:tcPr>
            <w:tcW w:w="2700" w:type="dxa"/>
            <w:vAlign w:val="bottom"/>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 xml:space="preserve">Bank of America </w:t>
            </w:r>
            <w:r>
              <w:rPr>
                <w:rFonts w:ascii="Times New Roman" w:cs="Times New Roman" w:eastAsia="Times New Roman" w:hAnsi="Times New Roman"/>
                <w:sz w:val="28"/>
                <w:szCs w:val="28"/>
                <w:color w:val="auto"/>
                <w:vertAlign w:val="superscript"/>
              </w:rPr>
              <w:t>(a)</w:t>
            </w:r>
          </w:p>
        </w:tc>
        <w:tc>
          <w:tcPr>
            <w:tcW w:w="120" w:type="dxa"/>
            <w:vAlign w:val="bottom"/>
            <w:shd w:val="clear" w:color="auto" w:fill="CCEEFF"/>
          </w:tcPr>
          <w:p>
            <w:pPr>
              <w:spacing w:after="0"/>
              <w:rPr>
                <w:sz w:val="22"/>
                <w:szCs w:val="22"/>
                <w:color w:val="auto"/>
              </w:rPr>
            </w:pPr>
          </w:p>
        </w:tc>
        <w:tc>
          <w:tcPr>
            <w:tcW w:w="2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October 2026 - December 2029</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4.34% - 6.91%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r>
      <w:tr>
        <w:trPr>
          <w:trHeight w:val="270"/>
        </w:trPr>
        <w:tc>
          <w:tcPr>
            <w:tcW w:w="2820" w:type="dxa"/>
            <w:vAlign w:val="bottom"/>
            <w:gridSpan w:val="2"/>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East West Bank </w:t>
            </w:r>
            <w:r>
              <w:rPr>
                <w:rFonts w:ascii="Times New Roman" w:cs="Times New Roman" w:eastAsia="Times New Roman" w:hAnsi="Times New Roman"/>
                <w:sz w:val="28"/>
                <w:szCs w:val="28"/>
                <w:color w:val="auto"/>
                <w:vertAlign w:val="superscript"/>
              </w:rPr>
              <w:t>(b)</w:t>
            </w: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August 2027 - September 2029</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6.61% - 8.00%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w:t>
            </w:r>
          </w:p>
        </w:tc>
      </w:tr>
      <w:tr>
        <w:trPr>
          <w:trHeight w:val="270"/>
        </w:trPr>
        <w:tc>
          <w:tcPr>
            <w:tcW w:w="2820" w:type="dxa"/>
            <w:vAlign w:val="bottom"/>
            <w:gridSpan w:val="2"/>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JPMorgan Chase </w:t>
            </w:r>
            <w:r>
              <w:rPr>
                <w:rFonts w:ascii="Times New Roman" w:cs="Times New Roman" w:eastAsia="Times New Roman" w:hAnsi="Times New Roman"/>
                <w:sz w:val="28"/>
                <w:szCs w:val="28"/>
                <w:color w:val="auto"/>
                <w:vertAlign w:val="superscript"/>
              </w:rPr>
              <w:t>(c)</w:t>
            </w:r>
          </w:p>
        </w:tc>
        <w:tc>
          <w:tcPr>
            <w:tcW w:w="2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January 2030</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6.30%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101,255</w:t>
            </w:r>
          </w:p>
        </w:tc>
      </w:tr>
      <w:tr>
        <w:trPr>
          <w:trHeight w:val="237"/>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debt, principal amount</w:t>
            </w: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108,949</w:t>
            </w:r>
          </w:p>
        </w:tc>
      </w:tr>
      <w:tr>
        <w:trPr>
          <w:trHeight w:val="27"/>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28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debt issuance costs</w:t>
            </w:r>
          </w:p>
        </w:tc>
        <w:tc>
          <w:tcPr>
            <w:tcW w:w="2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37"/>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debt, carrying value</w:t>
            </w: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108,734</w:t>
            </w:r>
          </w:p>
        </w:tc>
      </w:tr>
      <w:tr>
        <w:trPr>
          <w:trHeight w:val="27"/>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28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current portion</w:t>
            </w:r>
          </w:p>
        </w:tc>
        <w:tc>
          <w:tcPr>
            <w:tcW w:w="2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w:t>
            </w:r>
          </w:p>
        </w:tc>
      </w:tr>
      <w:tr>
        <w:trPr>
          <w:trHeight w:val="237"/>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101,967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103,324</w:t>
            </w:r>
          </w:p>
        </w:tc>
      </w:tr>
      <w:tr>
        <w:trPr>
          <w:trHeight w:val="27"/>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
        </w:trPr>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340" w:hanging="332"/>
        <w:spacing w:after="0" w:line="249" w:lineRule="auto"/>
        <w:tabs>
          <w:tab w:leader="none" w:pos="33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balance consists of real estate term loan and equipment term loan, collateralized by one real property and specific equipment. The real estate term loan is pegged to TERM SOFR + 2.5%.</w:t>
      </w:r>
    </w:p>
    <w:p>
      <w:pPr>
        <w:spacing w:after="0" w:line="16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term loans with East West Bank are collateralized by three real properties. Balloon payments of $2.2 million and $3.3 million are due at maturity in 2027 and 2029, respectively.</w:t>
      </w:r>
    </w:p>
    <w:p>
      <w:pPr>
        <w:spacing w:after="0" w:line="14" w:lineRule="exact"/>
        <w:rPr>
          <w:rFonts w:ascii="Times New Roman" w:cs="Times New Roman" w:eastAsia="Times New Roman" w:hAnsi="Times New Roman"/>
          <w:sz w:val="14"/>
          <w:szCs w:val="14"/>
          <w:color w:val="auto"/>
        </w:rPr>
      </w:pPr>
    </w:p>
    <w:p>
      <w:pPr>
        <w:ind w:left="340" w:hanging="332"/>
        <w:spacing w:after="0" w:line="283" w:lineRule="auto"/>
        <w:tabs>
          <w:tab w:leader="none" w:pos="33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term loan with a principal balance of $100.0 million as of March 31, 2025 and $101.3 million as of December 31, 2024 is secured by assets held by the Company and has a maturity date of January 2030.</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the various loan agreements related to long-term bank borrowings require the Company to comply with certain financial covenants, including, but not limited to, a fixed charge coverage ratio and effective tangible net worth. As of March 31, 2025, the Company was in compliance with its covenants.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31, 2022, the Company entered into the Third Amended Credit Agreement extending the Revolving Facility for five years, with a maturity date of March 31, 2027. The Third Amended Credit Agreement provides for a $100.0 million asset-secured revolving credit facility with a one-month SOFR plus a credit adjustment of 0.1% plus 1.375% per annum. On February 6, 2024, the Company amended the Third Amended Credit Agreement to (i) remove a cap on permitted indebtedness in respect of capital lease obligations, subject to certain enumerated conditions; (ii) create a reserve on the borrowing base, which will be reduced on a dollar-for-dollar basis once the Company has made expenditures in excess of such amount relating to the development and construction of certain real property, and which amounts shall be excluded from certain financial covenants under the Third Amended Credit Agreement and; (iii) remove certain sublease income from various financial covenants. On July 15, 2024, the Company again amended the Third Amended Credit Agreement to (i) increase the issuing bank sublimit to $10.0 million and; (ii) modify the due date for a borrowing base certificate based on availability under the revolving credit facility.</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12, 2025, the Company amended certain terms and conditions of the Third Amended Credit Agreement, by, among other things, (i) increasing the Revolving Commitment (as defined in the Credit Agreement) from $100.0 million to $125.0 million, (ii) joining three new subsidiaries of the Company to the Credit Agreement, each as a “Borrower” thereunder, (iii) joining Wells Fargo Bank, N.A. to the credit agreement as a “Lender” thereunder, (iv) amending certain affirmative covenants commensurate with the increase in the Revolving Facility, and (v) amending certain restrictions regarding incurring obligations under real property leases and equipment financings in the ordinary course of business.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the Company was in compliance with its covenants. The outstanding principal balance on the line of credit as of March 31, 2025 was $58.6 million and outstanding letters of credit amounted to $6.4 million leaving access to approximately $60.0 million in additional funds through our $125.0 million line of credit, subject to a borrowing base calculation.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Earnings (Loss) Per Share</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computes earnings per share (“EPS”) in accordance with ASC Topic 260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ASC 260 requires companies with complex capital structures to present basic and diluted EPS. Basic EPS is measured as net (loss) income divided by the weighted average common shares outstanding for the period. Diluted EPS is similar to basic EPS, but presents the dilutive effect on a per share basis of potential common shares (e.g., convertible securities, options, warrants and restricted stock) as if they had been converted at the beginning of the periods presented, or issuance date, if later. Potential common shares that have an anti-dilutive effect (i.e., those that increase income per share or decrease loss per share) are excluded from the calculation of diluted EPS. There were 1,446,582 and 1,470,541 potential common shares related to performance-based restricted stock units and restricted stock units that were excluded from the calculation of diluted EPS for the three months ended March 31, 2025 and 2024, respectively, because their effect could have been anti-dilutive.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EPS:</w:t>
            </w:r>
          </w:p>
        </w:tc>
        <w:tc>
          <w:tcPr>
            <w:tcW w:w="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7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in thousands, except share and per share data)</w:t>
            </w: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attributable to HF Foods Group Inc.</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52,737,650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52,155,968</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4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dilutive shares outstanding</w:t>
            </w:r>
          </w:p>
        </w:tc>
        <w:tc>
          <w:tcPr>
            <w:tcW w:w="4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52,737,650</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52,155,968</w:t>
            </w:r>
          </w:p>
        </w:tc>
        <w:tc>
          <w:tcPr>
            <w:tcW w:w="0" w:type="dxa"/>
            <w:vAlign w:val="bottom"/>
          </w:tcPr>
          <w:p>
            <w:pPr>
              <w:spacing w:after="0"/>
              <w:rPr>
                <w:sz w:val="1"/>
                <w:szCs w:val="1"/>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Loss per common share:</w:t>
            </w:r>
          </w:p>
        </w:tc>
        <w:tc>
          <w:tcPr>
            <w:tcW w:w="4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determination of the Company’s overall effective income tax rate requires the use of estimates. The effective income tax rate reflects the income earned and taxed in U.S. federal and various state jurisdictions based on enacted tax law, permanent differences between book and tax items, tax credits and the Company’s change in relative income in each jurisdiction. Changes in tax laws and rates may affect recorded deferred tax assets and liabilities and the Company’s effective income tax rate in the future. As of March 31, 2025, the Company had one subsidiary outside the U.S. However, the foreign subsidiary did not record any activity as of March 31, 2025. As such, no foreign income tax was recorded.</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the Company’s effective income tax rate of 37.9% and 24.5%, respectively, differed from the federal statutory tax rate primarily as a result of permanent differences and state income taxes, partially offset by tax credits.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Related Party Transactions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makes regular purchases from and sales to various related parties. Related party affiliations were attributed to transactions conducted between the Company and those business entities partially or wholly owned by the Company, the Company’s officers and/or shareholders who owned no less than 10% shareholdings of the Company.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Xiao Mou Zhang (“Mr. Zhang”), the former Chief Executive Officer through October 24, 2024 and current Director on the board of directors of the Company, and certain of his immediate family members have ownership interests in various related parties involved in (i) the distribution of food and related products to restaurants and other retailers and (ii) the supply of fresh food, frozen food, and packaging supplies to distributors. Mr. Zhang does not have any involvement in negotiations with any of the above-mentioned related parties.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that Mr. Zhou Min Ni (“Mr. Ni”), the Company’s former Co-Chief Executive Officer, together with various trusts for the benefit of Mr. Ni’s four children, are collectively beneficial owners of more than 10% of the outstanding shares of the Company’s common stock, and he and certain of his immediate family members have ownership interests in related parties involved in (i) the distribution of food and related products to restaurants and other retailers and (ii) the supply of fresh food, frozen food, and packaging supplies to distributors.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related party transactions as of March 31, 2025 and December 31, 2024 and for the three months ended March 31, 2025, and 2024, are identified as follows: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Sales, Purchases, and Lease Agreements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purchases of goods and services from related parties recorded for the three months ended March 31, 2025 and 2024, respectively:</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400" w:type="dxa"/>
            <w:vAlign w:val="bottom"/>
          </w:tcPr>
          <w:p>
            <w:pPr>
              <w:spacing w:after="0"/>
              <w:rPr>
                <w:sz w:val="19"/>
                <w:szCs w:val="19"/>
                <w:color w:val="auto"/>
              </w:rPr>
            </w:pPr>
          </w:p>
        </w:tc>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Nature</w:t>
            </w:r>
          </w:p>
        </w:tc>
        <w:tc>
          <w:tcPr>
            <w:tcW w:w="140" w:type="dxa"/>
            <w:vAlign w:val="bottom"/>
          </w:tcPr>
          <w:p>
            <w:pPr>
              <w:spacing w:after="0"/>
              <w:rPr>
                <w:sz w:val="19"/>
                <w:szCs w:val="19"/>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6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Asahi Food, Inc.</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Trade</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Conexus Food Solutions LLC (formerly known as Best Food Services, LLC)</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Trade</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Ocean Pacific Seafood Group, Inc.</w:t>
            </w: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Trade</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6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Rainfield Ranches, LP</w:t>
            </w:r>
          </w:p>
        </w:tc>
        <w:tc>
          <w:tcPr>
            <w:tcW w:w="106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Trade</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48"/>
        </w:trPr>
        <w:tc>
          <w:tcPr>
            <w:tcW w:w="40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through its subsidiary Mountain Food, LLC, owns an equity interest in this entity.</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equity interest is held by three Irrevocable Trusts for the benefit of Mr. Zhang’s children.</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Zhou Min Ni owns an equity interest in this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Sales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sales to related parties recorded for the three months ended March 31, 2025 and 2024, respectively:</w:t>
      </w:r>
    </w:p>
    <w:p>
      <w:pPr>
        <w:spacing w:after="0" w:line="289"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Pr>
          <w:p>
            <w:pPr>
              <w:spacing w:after="0"/>
              <w:rPr>
                <w:sz w:val="19"/>
                <w:szCs w:val="19"/>
                <w:color w:val="auto"/>
              </w:rPr>
            </w:pPr>
          </w:p>
        </w:tc>
        <w:tc>
          <w:tcPr>
            <w:tcW w:w="70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(In thousands)</w:t>
            </w:r>
          </w:p>
        </w:tc>
        <w:tc>
          <w:tcPr>
            <w:tcW w:w="3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69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ABC Food Trading, LLC</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30"/>
        </w:trPr>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7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Asahi Food, Inc.</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9"/>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7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Conexus Food Solutions LLC (formerly known as Best Food Services, LLC)</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29"/>
        </w:trPr>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7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First Choice Seafood, Inc.</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7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Fortune One Foods, Inc.</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320" w:type="dxa"/>
            <w:vAlign w:val="bottom"/>
          </w:tcPr>
          <w:p>
            <w:pPr>
              <w:spacing w:after="0"/>
              <w:rPr>
                <w:sz w:val="19"/>
                <w:szCs w:val="19"/>
                <w:color w:val="auto"/>
              </w:rPr>
            </w:pPr>
          </w:p>
        </w:tc>
        <w:tc>
          <w:tcPr>
            <w:tcW w:w="7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1"/>
        </w:trPr>
        <w:tc>
          <w:tcPr>
            <w:tcW w:w="3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equity interest is held by three Irrevocable Trusts for the benefit of Mr. Zhang’s children.</w:t>
      </w:r>
    </w:p>
    <w:p>
      <w:pPr>
        <w:spacing w:after="0" w:line="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through its subsidiary Mountain Food, LLC, owns an equity interest in this entity.</w:t>
      </w:r>
    </w:p>
    <w:p>
      <w:pPr>
        <w:spacing w:after="0" w:line="11"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Zhou Min Ni owns an equity interest in this entity indirectly through its parent company.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Agreements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various facilities to related parties.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2020, the Company renewed a warehouse lease from Yoan Chang Trading Inc. under an operating lease agreement which expired on December 31, 2020. In February 2021, the Company executed a new five-year operating lease agreement with Yoan Chang Trading Inc., effective January 1, 2021 and expiring on December 31, 2025. Rent expense was $0.1 million for the three months ended March 31, 2025 and 2024, respectively, which is included in distribution, selling and administrative expenses in the condensed consolidated statements of operations and comprehensive loss.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Beginning 2014, the Company leased a warehouse to Asahi Food, Inc. under a commercial lease agreement which was rescinded March 1, 2020. A new commercial lease agreement for a period of one year was entered into, expiring February 28, 2021, with a total of four renewal periods with each term being one year. The lease term was extended by an addendum dated September 1, 2023, which extended the lease through September 1, 2025. Rental income was $36 thousand for the three months ended March 31, 2025 and 2024, respectively, which is included in other expense (income), net in the condensed consolidated statements of operations and comprehensive loss.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Balances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 Related Parties,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accounts receivable with related parties recorded as of March 31, 2025 and December 31, 2024, respectively:</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4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3"/>
                <w:szCs w:val="23"/>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0" w:type="dxa"/>
            <w:vAlign w:val="bottom"/>
          </w:tcPr>
          <w:p>
            <w:pPr>
              <w:spacing w:after="0"/>
              <w:rPr>
                <w:sz w:val="23"/>
                <w:szCs w:val="23"/>
                <w:color w:val="auto"/>
              </w:rPr>
            </w:pPr>
          </w:p>
        </w:tc>
        <w:tc>
          <w:tcPr>
            <w:tcW w:w="1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7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   ABC Food Trading, LLC</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7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   Asahi Food, Inc.</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48"/>
        </w:trPr>
        <w:tc>
          <w:tcPr>
            <w:tcW w:w="74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equity interest is held by three Irrevocable Trusts for the benefit of Mr. Zhang’s children.</w:t>
      </w:r>
    </w:p>
    <w:p>
      <w:pPr>
        <w:spacing w:after="0" w:line="1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through its subsidiary Mountain Food, LLC, owns an equity interest in this entity.</w:t>
      </w:r>
    </w:p>
    <w:p>
      <w:pPr>
        <w:spacing w:after="0" w:line="23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All accounts receivable from these related parties are current and considered fully collectible. No additional allowance is deemed necessary as of March 31, 2025 and December 31, 2024.</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Line of Credit Note - Related Parties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issued a $51,000 line of credit note to Asahi Food, Inc. on November 1, 2024, which is outstanding at March 31, 2025 and included in other current assets in the consolidated balance sheet. Interest shall accrue at a rate of 7.25% per annum with monthly payments of interest only due beginning December 1, 2024 and continuing through the first day of each calendar month until the maturity date of October 31, 2025. Interest income was $1,233 for the three months ended March 31, 2025, which is included in other income, net in the condensed consolidated statements of operations and comprehensive loss.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Payable - Related Parties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the accounts payable to related parties are payable upon demand without interest. Below is a summary of accounts payable with related parties recorded as of March 31, 2025 and December 31, 2024, respectively: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4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3"/>
                <w:szCs w:val="23"/>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40" w:type="dxa"/>
            <w:vAlign w:val="bottom"/>
          </w:tcPr>
          <w:p>
            <w:pPr>
              <w:spacing w:after="0"/>
              <w:rPr>
                <w:sz w:val="23"/>
                <w:szCs w:val="23"/>
                <w:color w:val="auto"/>
              </w:rPr>
            </w:pPr>
          </w:p>
        </w:tc>
        <w:tc>
          <w:tcPr>
            <w:tcW w:w="1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7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   Conexus Food Solutions LLC (formerly known as Best Food Services, LLC)</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744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8"/>
                <w:szCs w:val="18"/>
                <w:color w:val="auto"/>
              </w:rPr>
              <w:t>Others</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8"/>
        </w:trPr>
        <w:tc>
          <w:tcPr>
            <w:tcW w:w="74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equity interest is held by three Irrevocable Trusts for the benefit of Mr. Zhang’s children.</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Stock-Based Compensation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2021, the Company began issuing awards under the HF Foods Group Inc. 2018 Omnibus Equity Incentive Plan (the “2018 Incentive Plan”), which reserves up to 3,000,000 shares of the Company’s common stock for issuance of awards to employees and non-employee directors. On June 3, 2024, the Company’s shareholders approved an amendment to the 2018 Incentive Plan which increased the number of shares of the Company’s common stock available for issuance under the 2018 Incentive Plan to 7,000,000, an increase of 4,000,000 shares. As of March 31, 2025, the Company had 585,472 time-based vesting restricted stock units unvested, 854,574 performance-based restricted stock units unvested, 1,169,943 shares of common stock vested and 4,390,011 shares remaining available for future awards under the 2018 Incentive Plan.</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compensation expense was $0.4 million and $0.7 million for the three months ended March 31, 2025 and 2024, respectively. Stock-based compensation expense was included in distribution, selling and administrative expenses in the Company’s condensed consolidated statements of operations and comprehensive loss.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there was $2.9 million of total unrecognized compensation cost related to all non-vested outstanding RSUs and PSUs outstanding under the 2018 Incentive Plan, with a weighted average remaining service period of 1.98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Segment Information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Company’s business consists of one operating segment, which is also its one reportable segment. The Company operates solely in the United States and derives revenues by providing sales of food and non-food to customers. The segment’s customer base consists primarily of Asian restaurants located throughout the United States. The Company’s chief operating decision maker (“CODM”) is its chief executive officer, who reviews financial information presented on a consolidated basis. The CODM uses consolidated net (loss) income to assess financial performance and allocate resources. The Company’s measure of segment assets is total assets, as reported on the condensed consolidated balance sheets. Accounting policies for the company’s single operating segment are the same as those described in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8" w:name="page19"/>
    <w:bookmarkEnd w:id="18"/>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 for the three months ended March 31, 2025 and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5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298,428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295,654</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5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247,469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245,243</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Payroll and related labor costs</w:t>
            </w:r>
          </w:p>
        </w:tc>
        <w:tc>
          <w:tcPr>
            <w:tcW w:w="5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24,867</w:t>
            </w:r>
          </w:p>
        </w:tc>
        <w:tc>
          <w:tcPr>
            <w:tcW w:w="0" w:type="dxa"/>
            <w:vAlign w:val="bottom"/>
          </w:tcPr>
          <w:p>
            <w:pPr>
              <w:spacing w:after="0"/>
              <w:rPr>
                <w:sz w:val="1"/>
                <w:szCs w:val="1"/>
                <w:color w:val="auto"/>
              </w:rPr>
            </w:pPr>
          </w:p>
        </w:tc>
      </w:tr>
      <w:tr>
        <w:trPr>
          <w:trHeight w:val="229"/>
        </w:trPr>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Professional fees</w:t>
            </w:r>
          </w:p>
        </w:tc>
        <w:tc>
          <w:tcPr>
            <w:tcW w:w="5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5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0" w:type="dxa"/>
            <w:vAlign w:val="bottom"/>
          </w:tcPr>
          <w:p>
            <w:pPr>
              <w:spacing w:after="0"/>
              <w:rPr>
                <w:sz w:val="1"/>
                <w:szCs w:val="1"/>
                <w:color w:val="auto"/>
              </w:rPr>
            </w:pPr>
          </w:p>
        </w:tc>
      </w:tr>
      <w:tr>
        <w:trPr>
          <w:trHeight w:val="229"/>
        </w:trPr>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5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expenses </w:t>
            </w:r>
            <w:r>
              <w:rPr>
                <w:rFonts w:ascii="Times New Roman" w:cs="Times New Roman" w:eastAsia="Times New Roman" w:hAnsi="Times New Roman"/>
                <w:sz w:val="23"/>
                <w:szCs w:val="23"/>
                <w:color w:val="auto"/>
                <w:vertAlign w:val="superscript"/>
              </w:rPr>
              <w:t>(a)</w:t>
            </w:r>
          </w:p>
        </w:tc>
        <w:tc>
          <w:tcPr>
            <w:tcW w:w="5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14,743</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selling and administrative expenses</w:t>
            </w:r>
          </w:p>
        </w:tc>
        <w:tc>
          <w:tcPr>
            <w:tcW w:w="5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50,496</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5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interest rate swap contracts</w:t>
            </w:r>
          </w:p>
        </w:tc>
        <w:tc>
          <w:tcPr>
            <w:tcW w:w="5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guarantee income</w:t>
            </w:r>
          </w:p>
        </w:tc>
        <w:tc>
          <w:tcPr>
            <w:tcW w:w="54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5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5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142"/>
        </w:trPr>
        <w:tc>
          <w:tcPr>
            <w:tcW w:w="6400" w:type="dxa"/>
            <w:vAlign w:val="bottom"/>
            <w:shd w:val="clear" w:color="auto" w:fill="CCEEFF"/>
          </w:tcPr>
          <w:p>
            <w:pPr>
              <w:ind w:left="240"/>
              <w:spacing w:after="0" w:line="142" w:lineRule="exact"/>
              <w:rPr>
                <w:sz w:val="20"/>
                <w:szCs w:val="20"/>
                <w:color w:val="auto"/>
              </w:rPr>
            </w:pPr>
            <w:r>
              <w:rPr>
                <w:rFonts w:ascii="Times New Roman" w:cs="Times New Roman" w:eastAsia="Times New Roman" w:hAnsi="Times New Roman"/>
                <w:sz w:val="16"/>
                <w:szCs w:val="16"/>
                <w:b w:val="1"/>
                <w:bCs w:val="1"/>
                <w:color w:val="auto"/>
              </w:rPr>
              <w:t>NET LOSS AND COMPREHENSIVE LOSS ATTRIBUTABLE TO HF FOODS</w:t>
            </w:r>
          </w:p>
        </w:tc>
        <w:tc>
          <w:tcPr>
            <w:tcW w:w="540" w:type="dxa"/>
            <w:vAlign w:val="bottom"/>
            <w:vMerge w:val="restart"/>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09"/>
        </w:trPr>
        <w:tc>
          <w:tcPr>
            <w:tcW w:w="6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GROUP INC.</w:t>
            </w: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340" w:hanging="332"/>
        <w:spacing w:after="0" w:line="258" w:lineRule="auto"/>
        <w:tabs>
          <w:tab w:leader="none" w:pos="33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expenses include distribution, selling and administrative expenses which are not provided to the chief operating decision maker on a regular basis. These expenses include primarily auto &amp; truck expense, insurance, occupancy expense and utilities.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the Company is a party to various lawsuits, claims and other legal proceedings that arise in the ordinary course of business. When the Company becomes aware of a claim or potential claim, it assesses the likelihood of any loss or exposure. In accordance with authoritative guidance, the Company records loss contingencies in its financial statements only for matters in which losses are probable and can be reasonably estimated. Where a range of loss can be reasonably estimated with no best estimate in the range, the Company records the minimum estimated liability. If the loss is not probable or the amount of the loss cannot be reasonably estimated, the Company discloses the nature of the specific claim if the likelihood of a potential loss is reasonably possible and the amount involved is material. The Company continuously assesses the potential liability related to its pending litigation and revises its estimates when additional information becomes available. Adverse outcomes in some or all of these matters may result in significant monetary damages or injunctive relief against the Company that could adversely affect its ability to conduct business. There also exists the possibility of a material adverse effect on the Company’s financial statements for the period in which the effect of an unfavorable outcome becomes probable and reasonably estimable. Legal costs associated with loss contingencies are expensed as incurred.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AnHeart Lease Guarantee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provided a guarantee for two separate leases for two properties located in Manhattan, New York, at 273 Fifth Avenue and 275 Fifth Avenue, for 30 years and 15 years, respectively. The Company previously determined that AnHeart was a VIE as a result of the guarantees. However, the Company concluded it was not the primary beneficiary of AnHeart and therefore did not consolidate, because it did not have the power to direct the activities of AnHeart that most significantly impact AnHeart’s economic performance.</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10, 2021, the Company entered into an Assignment and Assumption of Lease Agreement (“Assignment”), dated effective as of January 21, 2021, with AnHeart and Premier 273 Fifth, LLC, pursuant to which it assumed the lease of the premises at 273 Fifth Avenue (the “273 Lease Agreement”). At the same time, the closing documents were delivered to effectuate the amendment of the 273 Lease Agreement pursuant to an Amendment to Lease (the “Lease Amendment”). The Assignment and the Lease Amendment were negotiated in light of the Company’s guarantee obligations as guarantor under the 273 Lease Agreement. The Company agreed to observe all the covenants and conditions of the 273 Lease Agreement, as amended, including the payment of all rents due. Under the terms of the 273 Lease Agreement and the Assignment, the Company has undertaken to construct, at its own expense, a building on the premises at a minimum cost of $2.5 million. The Lease Amendment permits subletting of the premises, and the Company intends to sublease the newly constructed premises to defray the rental expense undertaken pursuant to its guaranty obligations. In March 2024, the Company began construction of a multi-use facility on 273 Fifth Avenue and committed $7.0 million for the completion of the construction project. The Company has incurred $6.3 million in construction costs which was recorded in construction in progress within property and equipment, net in the Company’s condensed consolidated balance sheet as of March 31, 2025. The Company expects to complete construction in June 2025.</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January 17, 2022, the Company received notice that AnHeart had defaulted on its obligations as tenant under the lease for 275 Fifth Avenue. On February 7, 2022, the Company undertook its guaranty obligations by assuming responsibility for payment of monthly rent and other tenant obligations, including past due rent as well as property tax obligations beginning with the January 2022 rent due. As a result, during the year ended December 31, 2022, the Company recorded a lease guarantee liability of $5.9 million. On February 25, 2022, the Company instituted a legal action to pursue legal remedies against AnHeart and Minsheng. In March 2022, the Company agreed to stay that litigation against AnHeart in exchange for AnHeart’s payment of certain back rent from January to April 2022 and its continued partial payment of monthly rent. AnHeart subsequently defaulted on these obligations. On October 25, 2023, the Company commenced a new legal action by filing a complaint in New York County Supreme Court to pursue legal remedies against AnHeart and Minsheng (the “2023 Action”). As of the filing of the new summons and complaint, AnHeart and Minsheng are indebted to the Company in the amount of $474,000. AnHeart and the Company have since reached a settlement agreement (the “Settlement Agreement”) for AnHeart to pay the Company $40,000 a month in rent through December 2024, $46,750 a month in rent from January 2025 through December 2025, and commence regular monthly rental payments in accordance with the lease for 275 Fifth Avenue. The Settlement Agreement also provides that AnHeart will pay twenty-four monthly installments of $11,250 from January 2025 through December 2026 as payment for all back rent due. Effective April 30, 2024, the Company through its subsidiary assumed the lease of a building located on the premises of 275 Fifth Avenue. The assumption of the lease had no impact on the Company’s obligations as guarantor. The lease covers certain portions of the ground floor, lower level, and second floor of the building. The lease term ends on April 30, 2034 and is renewable at the option of the Company for up to two additional five-year terms. The Company shall pay rent of approximately $45,000 per month with provisions for yearly increases. With the assumption of the lease for 275 Fifth Avenue, the Company no longer recognized AnHeart as a VIE. In addition, the remaining lease guarantee liability of $5.4 million was reversed and an operating lease right-of-use asset and liability of $4.9 million was recorded to the consolidated balance sheet. As a result of the reversal, a gain of $5.4 million was recorded to other expense (income), net on the consolidated statements of operations and comprehensive income (loss) in the second quarter of 2024.</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30, 2024, the Company entered into an operating lease of a new distribution center located in Georgia. The lease term commenced February 1, 2025 for a period of 10 years and five months and is renewable at the option of the Company for up to three additional five-year terms. The Company is reasonably likely to exercise the first of the three five-year renewal options due to the investment the Company is making to the leased property infrastructure. The Company shall pay rent of approximately $120,000 per month with provisions for yearly increases totaling $29.0 million in future minimum lease payments over 15 years. As of March 31, 2025, the current portion and non-current portion of obligations under all operating leases was $4.3 million and $25.6 million, respectively.</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2025, the Company had additional automobile leases that had not yet commenced which total $3.3 million in future minimum lease payments.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15 - Subsequent Events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subsequent events have occurred that would require recognition in the unaudited condensed consolidated financial statements or disclosure in the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1" w:name="page22"/>
    <w:bookmarkEnd w:id="21"/>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for HF Foods Group Inc. (“HF Foods”, the “Company,” “we,” “us,” or “our”) contains forward-looking statements. Forward-looking statements include statements about our expectations, beliefs, plans, objectives, intentions, assumptions and other statements that are not historical facts. Words or phrases such as “anticipate,” “believe,” “continue,” “could,” “estimate,” “expect,” “intend,” “may,” “might,” “plan,” “potential,” “predict,” “project,” “will” or similar words or phrases, or the negatives of those words or phrases, may identify forward-looking statements, but the absence of these words does not necessarily mean that a statement is not forward-looking. We derive many of our forward-looking statements from our operating budgets and forecasts, which are based on many detailed assumptions. While we believe that our assumptions are reasonable, we caution that it is very difficult to predict the impact of known factors, and it is impossible for us to anticipate all factors that could affect our actual results. All forward-looking statements are subject to risks and uncertainties that may cause actual results to differ materially from those that we expected. Factors that could cause or contribute to such differences include those discussed in this Quarterly Report on Form 10-Q, and in particular, the risks discussed under the caption “Risk Factors” in Item 1A and those discussed in other documents we file with the Securities and Exchange Commission (the “SEC”). We undertake no obligation to revise or publicly release the results of any revision to these forward-looking statements, except as required by law. Given these risks and uncertainties, readers are cautioned not to place undue reliance on such forward-looking statements.</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Quarterly Report on Form 10-Q are made only as of the date hereof. Except as otherwise required by law, we undertake no obligation to update or revise any forward-looking statement as a result of new information, future events or otherwise.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market and distribute Asian specialty food products, seafood, fresh produce, frozen and dry food, and non-food products primarily to Asian restaurants and other foodservice customers throughout the United States. HF Foods was formed through a merger between two complementary market leaders, HF Foods Group Inc. and B&amp;R Global. In 2022, HF Foods acquired two frozen seafood suppliers, expanding its distribution network in Illinois, Texas and along the eastern seaboard, from Massachusetts to Florida, as well as Pennsylvania, West Virginia, Ohio, Kentucky, and Tennessee.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aim to supply the increasing demand for Asian American restaurant cuisine, leveraging our nationwide network of distribution centers and our strong relations with growers and suppliers of fresh, high-quality specialty restaurant food products and supplies primarily in North America, South America and Asia. Capitalizing on our deep understanding of the Asian culture, we have become a trusted partner serving Asian restaurants and other foodservice customers throughout the United States. We are dedicated to serving the vast array of Asian restaurants in need of high-quality and specialized food ingredients at competitive prices.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Transformation Plan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position the business for long-term success, we have initiated a comprehensive, operational transformation plan in an effort to drive growth and cost savings. Our transformation is focused on four key areas, each of which we expect will positively impact future growth or cost savings. The components of our transformation are as follows:</w:t>
      </w:r>
    </w:p>
    <w:p>
      <w:pPr>
        <w:spacing w:after="0" w:line="172" w:lineRule="exact"/>
        <w:rPr>
          <w:sz w:val="20"/>
          <w:szCs w:val="20"/>
          <w:color w:val="auto"/>
        </w:rPr>
      </w:pPr>
    </w:p>
    <w:p>
      <w:pPr>
        <w:ind w:left="660" w:hanging="328"/>
        <w:spacing w:after="0" w:line="28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Centralized Purchasing: </w:t>
      </w:r>
      <w:r>
        <w:rPr>
          <w:rFonts w:ascii="Times New Roman" w:cs="Times New Roman" w:eastAsia="Times New Roman" w:hAnsi="Times New Roman"/>
          <w:sz w:val="18"/>
          <w:szCs w:val="18"/>
          <w:color w:val="auto"/>
        </w:rPr>
        <w:t>We began the roll out of our centralized purchasing program with seafood and poultry products and have yielded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positive results with respect to margin expansion for the product category. We are now focusing on expanding the program to other categories.</w:t>
      </w:r>
    </w:p>
    <w:p>
      <w:pPr>
        <w:spacing w:after="0" w:line="10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Fleet and Transportation: </w:t>
      </w:r>
      <w:r>
        <w:rPr>
          <w:rFonts w:ascii="Times New Roman" w:cs="Times New Roman" w:eastAsia="Times New Roman" w:hAnsi="Times New Roman"/>
          <w:sz w:val="18"/>
          <w:szCs w:val="18"/>
          <w:color w:val="auto"/>
        </w:rPr>
        <w:t>We have established a national fleet maintenance program. Within this, we have defined new truck specifications,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initiated a replacement program for 50% of our current fleet, implemented a national fuel savings program to maximize efficiency, and plan to outsource domestic inbound freight logistics to a third-party partner to adopt a cohesive national approach to our supply chain. This is expected to deliver substantial improvements to our transportation system.</w:t>
      </w:r>
    </w:p>
    <w:p>
      <w:pPr>
        <w:spacing w:after="0" w:line="122"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Digital Transformation: </w:t>
      </w:r>
      <w:r>
        <w:rPr>
          <w:rFonts w:ascii="Times New Roman" w:cs="Times New Roman" w:eastAsia="Times New Roman" w:hAnsi="Times New Roman"/>
          <w:sz w:val="18"/>
          <w:szCs w:val="18"/>
          <w:color w:val="auto"/>
        </w:rPr>
        <w:t>We are in the process of completing the implementation of a modern ERP solution across all of our distribution centers.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is expected to deliver enhanced operational efficiency and responsiveness, streamlined processes, and greater data driven decision-making.</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ind w:left="660" w:hanging="328"/>
        <w:spacing w:after="0" w:line="28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Facility Upgrades: </w:t>
      </w:r>
      <w:r>
        <w:rPr>
          <w:rFonts w:ascii="Times New Roman" w:cs="Times New Roman" w:eastAsia="Times New Roman" w:hAnsi="Times New Roman"/>
          <w:sz w:val="18"/>
          <w:szCs w:val="18"/>
          <w:color w:val="auto"/>
        </w:rPr>
        <w:t>We will be reorganizing and upgrading our facilities and distribution centers to efficiently streamline costs, and to capitalize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cross-selling opportunities with both new and existing customers.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Overview</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4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4"/>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 in thousands)</w:t>
            </w:r>
          </w:p>
        </w:tc>
        <w:tc>
          <w:tcPr>
            <w:tcW w:w="3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298,428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w:t>
            </w: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w:t>
            </w: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on our non-GAAP financial measures, EBITDA and Adjusted EBITDA, see the section entitled “EBITDA and Adjusted EBITDA”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to Assess HF Foods’ Performance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assessing our performance, we consider a variety of performance and financial measures, including principal growth in net revenue, gross profit, distribution, selling and administrative expenses, as well as certain non-GAAP financial measures, including EBITDA and Adjusted EBITDA. The key measures that we use to evaluate the performance of our business are set forth below:</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5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Net revenue is equal to gross sales minus sales returns, sales incentives that we offer to our customers, such as rebates and discounts that are offsets to gross sales; and certain other adjustments. Our net revenue is driven by changes in number of customers and average customer order amount, product inflation that is reflected in the pricing of our products and mix of products sold.</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5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Gross profit is equal to net revenue minus cost of revenue. Cost of revenue primarily includes inventory costs (net of supplier consideration), inbound freight, customs clearance fees and other miscellaneous expenses. Cost of revenue generally changes as we incur higher or lower costs from suppliers and as the customer and product mix changes.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Distribution, Selling and Administrative Expenses</w:t>
      </w:r>
    </w:p>
    <w:p>
      <w:pPr>
        <w:spacing w:after="0" w:line="25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Distribution, selling and administrative expenses consist primarily of salaries, stock-based compensation and benefits for employees and contract laborers, trucking and fuel expenses, utilities, maintenance and repair expenses, insurance expenses, depreciation and amortization expenses, selling and marketing expenses, professional fees and other operating expenses.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p>
      <w:pPr>
        <w:spacing w:after="0" w:line="25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Discussion of our results includes certain non-GAAP financial measures, including EBITDA and Adjusted EBITDA, that we believe provides an additional tool for investors to use in evaluating ongoing operating results and trends and in comparing our financial performance with other companies in the same industry, many of which present similar non-GAAP financial measures to investors. We present EBITDA and Adjusted EBITDA in order to provide supplemental information that we consider relevant for the readers of our condensed consolidated financial statements included elsewhere in this report, and such information is not meant to replace or supersede GAAP measures.</w:t>
      </w:r>
    </w:p>
    <w:p>
      <w:pPr>
        <w:spacing w:after="0" w:line="21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Management uses EBITDA to measure operating performance, defined as net income before interest expense, interest income, income taxes, and depreciation and amortization. In addition, management uses Adjusted EBITDA, defined as net income before interest expense, interest income, income taxes, and depreciation and amortization, further adjusted to exclude certain unusual, non-cash, or non-recurring expenses. Management believes that Adjusted EBITDA is less susceptible to variances in actual performance resulting from non-recurring expenses, and other non-cash charges and is more reflective of other factors that affect our operating performance.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3" w:name="page24"/>
    <w:bookmarkEnd w:id="23"/>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definition of EBITDA and Adjusted EBITDA may not be the same as similarly titled measures used by other companies in the industry. EBITDA and Adjusted EBITDA are not defined under GAAP and are subject to important limitations as analytical tools and should not be considered in isolation or as substitutes for analysis of HF Foods’ results as reported under GAAP. For example, Adjusted EBITDA:</w:t>
      </w:r>
    </w:p>
    <w:p>
      <w:pPr>
        <w:spacing w:after="0" w:line="176" w:lineRule="exact"/>
        <w:rPr>
          <w:sz w:val="20"/>
          <w:szCs w:val="20"/>
          <w:color w:val="auto"/>
        </w:rPr>
      </w:pPr>
    </w:p>
    <w:p>
      <w:pPr>
        <w:ind w:left="1300" w:hanging="482"/>
        <w:spacing w:after="0"/>
        <w:tabs>
          <w:tab w:leader="none" w:pos="13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excludes certain tax payments that may represent a reduction in cash available;</w:t>
      </w:r>
    </w:p>
    <w:p>
      <w:pPr>
        <w:spacing w:after="0" w:line="117" w:lineRule="exact"/>
        <w:rPr>
          <w:rFonts w:ascii="Times New Roman" w:cs="Times New Roman" w:eastAsia="Times New Roman" w:hAnsi="Times New Roman"/>
          <w:sz w:val="18"/>
          <w:szCs w:val="18"/>
          <w:b w:val="1"/>
          <w:bCs w:val="1"/>
          <w:color w:val="auto"/>
        </w:rPr>
      </w:pPr>
    </w:p>
    <w:p>
      <w:pPr>
        <w:ind w:left="1300" w:right="20" w:hanging="482"/>
        <w:spacing w:after="0" w:line="282"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any cash capital expenditure requirements for the assets being depreciated and amortized that may have to be replaced in the future;</w:t>
      </w:r>
    </w:p>
    <w:p>
      <w:pPr>
        <w:spacing w:after="0" w:line="53"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changes in, or cash requirements for, our working capital needs; and</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the significant interest expense, or the cash requirements, necessary to service our debt.</w:t>
      </w:r>
    </w:p>
    <w:p>
      <w:pPr>
        <w:spacing w:after="0" w:line="25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For additional information on EBITDA and Adjusted EBITDA and a reconciliation to their most directly comparable U.S. GAAP financial measures, see “</w:t>
      </w:r>
      <w:r>
        <w:rPr>
          <w:rFonts w:ascii="Times New Roman" w:cs="Times New Roman" w:eastAsia="Times New Roman" w:hAnsi="Times New Roman"/>
          <w:sz w:val="18"/>
          <w:szCs w:val="18"/>
          <w:i w:val="1"/>
          <w:iCs w:val="1"/>
          <w:color w:val="auto"/>
        </w:rPr>
        <w:t>Results of Operations — EBITDA and Adjusted EBITDA</w:t>
      </w:r>
      <w:r>
        <w:rPr>
          <w:rFonts w:ascii="Times New Roman" w:cs="Times New Roman" w:eastAsia="Times New Roman" w:hAnsi="Times New Roman"/>
          <w:sz w:val="18"/>
          <w:szCs w:val="18"/>
          <w:color w:val="auto"/>
        </w:rPr>
        <w:t>”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March 31, 2025 to Three Months Ended March 31, 2024</w:t>
      </w:r>
    </w:p>
    <w:p>
      <w:pPr>
        <w:spacing w:after="0" w:line="25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three months ended March 31, 2025 and 2024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historical results presented below are not necessarily indicative of the results that may be expected for any future period.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3"/>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5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298,428</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295,654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r>
      <w:tr>
        <w:trPr>
          <w:trHeight w:val="27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247,469</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245,243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w:t>
            </w:r>
          </w:p>
        </w:tc>
      </w:tr>
      <w:tr>
        <w:trPr>
          <w:trHeight w:val="26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50,959</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7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Distribution, selling and administrative expenses</w:t>
            </w:r>
          </w:p>
        </w:tc>
        <w:tc>
          <w:tcPr>
            <w:tcW w:w="3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49,805</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50,496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r>
      <w:tr>
        <w:trPr>
          <w:trHeight w:val="26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r>
      <w:tr>
        <w:trPr>
          <w:trHeight w:val="27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7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7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interest rate swap contracts</w:t>
            </w:r>
          </w:p>
        </w:tc>
        <w:tc>
          <w:tcPr>
            <w:tcW w:w="3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w:t>
            </w:r>
          </w:p>
        </w:tc>
      </w:tr>
      <w:tr>
        <w:trPr>
          <w:trHeight w:val="27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guarantee income</w:t>
            </w:r>
          </w:p>
        </w:tc>
        <w:tc>
          <w:tcPr>
            <w:tcW w:w="36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6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2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w:t>
            </w:r>
          </w:p>
        </w:tc>
      </w:tr>
      <w:tr>
        <w:trPr>
          <w:trHeight w:val="27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64"/>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r>
      <w:tr>
        <w:trPr>
          <w:trHeight w:val="27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6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 attributable to HF Foods Group Inc.</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r>
      <w:tr>
        <w:trPr>
          <w:trHeight w:val="20"/>
        </w:trPr>
        <w:tc>
          <w:tcPr>
            <w:tcW w:w="6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our consolidated results of operations expressed as a percentage of net revenue for the periods indicated:</w:t>
      </w:r>
    </w:p>
    <w:p>
      <w:pPr>
        <w:spacing w:after="0" w:line="59"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36830</wp:posOffset>
            </wp:positionV>
            <wp:extent cx="25971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20" w:type="dxa"/>
            <w:vAlign w:val="bottom"/>
            <w:gridSpan w:val="2"/>
          </w:tcPr>
          <w:p>
            <w:pPr>
              <w:ind w:left="79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71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5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2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7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82.9 %</w:t>
            </w:r>
          </w:p>
        </w:tc>
        <w:tc>
          <w:tcPr>
            <w:tcW w:w="100" w:type="dxa"/>
            <w:vAlign w:val="bottom"/>
            <w:tcBorders>
              <w:bottom w:val="single" w:sz="8" w:color="CCEEFF"/>
            </w:tcBorders>
          </w:tcPr>
          <w:p>
            <w:pPr>
              <w:spacing w:after="0"/>
              <w:rPr>
                <w:sz w:val="23"/>
                <w:szCs w:val="23"/>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82.9 %</w:t>
            </w:r>
          </w:p>
        </w:tc>
      </w:tr>
      <w:tr>
        <w:trPr>
          <w:trHeight w:val="243"/>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r>
      <w:tr>
        <w:trPr>
          <w:trHeight w:val="27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Distribution, selling and administrative expenses</w:t>
            </w:r>
          </w:p>
        </w:tc>
        <w:tc>
          <w:tcPr>
            <w:tcW w:w="12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00" w:type="dxa"/>
            <w:vAlign w:val="bottom"/>
            <w:tcBorders>
              <w:bottom w:val="single" w:sz="8" w:color="CCEEFF"/>
            </w:tcBorders>
          </w:tcPr>
          <w:p>
            <w:pPr>
              <w:spacing w:after="0"/>
              <w:rPr>
                <w:sz w:val="23"/>
                <w:szCs w:val="23"/>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17.1 %</w:t>
            </w:r>
          </w:p>
        </w:tc>
      </w:tr>
      <w:tr>
        <w:trPr>
          <w:trHeight w:val="243"/>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0"/>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70"/>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0"/>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fair value of interest rate swap contracts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7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guarantee income</w:t>
            </w:r>
          </w:p>
        </w:tc>
        <w:tc>
          <w:tcPr>
            <w:tcW w:w="12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3"/>
                <w:szCs w:val="23"/>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7"/>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7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2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3"/>
                <w:szCs w:val="23"/>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7"/>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7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2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3"/>
                <w:szCs w:val="23"/>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64"/>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 attributable to HF Foods Group Inc.</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0"/>
        </w:trPr>
        <w:tc>
          <w:tcPr>
            <w:tcW w:w="7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revenue for the three months ended March 31, 2025 increased by $2.8 million, or 0.9%, compared to the same period in 2024. This growth was achieved despite one fewer day of operations compared to the prior year period. The increase was primarily attributable to volume increases and improved pricing in Commodity, Meat &amp; Poultry and Seafood, offset by a decrease in volume within other categories.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Gross profit was $51.0 million for three months ended March 31, 2025 compared to $50.4 million in the same period in 2024, an increase of $0.5 million, or 1.1%. The increase was primarily attributable to an increase in margins on Commodity and Seafood during the quarter. Gross profit margin for the three months ended March 31, 2025 of 17.1% remained consistent compared to 17.1% in the same period in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Selling and Administrative Expenses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Distribution, selling and administrative expenses decreased by $0.7 million, or 1.4%, to $49.8 million, for the three months ended March 31, 2025 primarily due to a decrease of $1.6 million in professional fees. Distribution, selling and administrative expenses as a percentage of net revenue decreased to 16.7% for the three months ended March 31, 2025 from 17.1% in the same period in 2024, primarily due to increased net revenue and lower professional fees, partially offset by increased payroll, insurance, rental and other expenses.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Interest expense for the three months ended March 31, 2025 of $2.6 million decreased slightly compared to $2.8 million for the three months ended March 31, 2024. Average floating interest rates on our floating-rate debt for the three months ended March 31, 2025 decreased by approximately 1.0% on our line of credit and 1.0% on the JPMorgan Chase mortgage-secured term loan, compared to the same period in 2024. Our average daily line of credit balance increased by $4.0 million, or 9.0%, to $48.7 million for the three months ended March 31, 2025 from $44.7 million for the three months ended March 31, 2024, and our average daily JPMorgan Chase mortgage-secured term loan balance decreased by $5 million, or 4.8%, to $100.4 million for the three months ended March 31, 2025 from $105.5 million for the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benefit was $932 thousand for the three months ended March 31, 2025, compared to an income tax benefit of $181 thousand for the three months ended March 31, 2024, primarily due to an increase in loss before income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loss was $1.5 million for the three months ended March 31, 2025, compared to net loss of $0.6 million for the three months ended March 31, 2024. The increased loss was primarily driven by the change related to the fair value of interest rate swap contracts of $3.2 million partially offset by the change in income from operations of $1.2 million.</w:t>
      </w:r>
    </w:p>
    <w:p>
      <w:pPr>
        <w:sectPr>
          <w:pgSz w:w="11900" w:h="16838" w:orient="portrait"/>
          <w:cols w:equalWidth="0" w:num="1">
            <w:col w:w="11240"/>
          </w:cols>
          <w:pgMar w:left="320" w:top="887" w:right="339" w:bottom="1440" w:gutter="0" w:footer="0" w:header="0"/>
        </w:sectPr>
      </w:pP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8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reconciles EBITDA and Adjusted EBITDA to the most directly comparable GAAP measure:</w:t>
            </w:r>
          </w:p>
        </w:tc>
        <w:tc>
          <w:tcPr>
            <w:tcW w:w="1340" w:type="dxa"/>
            <w:vAlign w:val="bottom"/>
          </w:tcPr>
          <w:p>
            <w:pPr>
              <w:spacing w:after="0"/>
              <w:rPr>
                <w:sz w:val="24"/>
                <w:szCs w:val="24"/>
                <w:color w:val="auto"/>
              </w:rPr>
            </w:pPr>
          </w:p>
        </w:tc>
      </w:tr>
      <w:tr>
        <w:trPr>
          <w:trHeight w:val="270"/>
        </w:trPr>
        <w:tc>
          <w:tcPr>
            <w:tcW w:w="6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30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6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52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(1,530)</w:t>
            </w:r>
          </w:p>
        </w:tc>
        <w:tc>
          <w:tcPr>
            <w:tcW w:w="1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(559)</w:t>
            </w:r>
          </w:p>
        </w:tc>
      </w:tr>
      <w:tr>
        <w:trPr>
          <w:trHeight w:val="27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2,834</w:t>
            </w:r>
          </w:p>
        </w:tc>
      </w:tr>
      <w:tr>
        <w:trPr>
          <w:trHeight w:val="27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w:t>
            </w:r>
          </w:p>
        </w:tc>
      </w:tr>
      <w:tr>
        <w:trPr>
          <w:trHeight w:val="27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6,758</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6,676</w:t>
            </w:r>
          </w:p>
        </w:tc>
      </w:tr>
      <w:tr>
        <w:trPr>
          <w:trHeight w:val="25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4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6,905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8,770</w:t>
            </w:r>
          </w:p>
        </w:tc>
      </w:tr>
      <w:tr>
        <w:trPr>
          <w:trHeight w:val="27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guarantee income</w:t>
            </w:r>
          </w:p>
        </w:tc>
        <w:tc>
          <w:tcPr>
            <w:tcW w:w="340" w:type="dxa"/>
            <w:vAlign w:val="bottom"/>
          </w:tcPr>
          <w:p>
            <w:pPr>
              <w:spacing w:after="0"/>
              <w:rPr>
                <w:sz w:val="23"/>
                <w:szCs w:val="23"/>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r>
      <w:tr>
        <w:trPr>
          <w:trHeight w:val="27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interest rate swap contracts</w:t>
            </w:r>
          </w:p>
        </w:tc>
        <w:tc>
          <w:tcPr>
            <w:tcW w:w="34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(1,970)</w:t>
            </w:r>
          </w:p>
        </w:tc>
      </w:tr>
      <w:tr>
        <w:trPr>
          <w:trHeight w:val="27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738</w:t>
            </w:r>
          </w:p>
        </w:tc>
      </w:tr>
      <w:tr>
        <w:trPr>
          <w:trHeight w:val="275"/>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Business transformation costs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973</w:t>
            </w:r>
          </w:p>
        </w:tc>
      </w:tr>
      <w:tr>
        <w:trPr>
          <w:trHeight w:val="27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Other non-routine expense </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r>
      <w:tr>
        <w:trPr>
          <w:trHeight w:val="265"/>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Executive transition and organizational redesign </w:t>
            </w:r>
            <w:r>
              <w:rPr>
                <w:rFonts w:ascii="Times New Roman" w:cs="Times New Roman" w:eastAsia="Times New Roman" w:hAnsi="Times New Roman"/>
                <w:sz w:val="23"/>
                <w:szCs w:val="23"/>
                <w:color w:val="auto"/>
                <w:vertAlign w:val="superscript"/>
              </w:rPr>
              <w:t>(3)</w:t>
            </w:r>
          </w:p>
        </w:tc>
        <w:tc>
          <w:tcPr>
            <w:tcW w:w="3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973</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9,773</w:t>
            </w:r>
          </w:p>
        </w:tc>
        <w:tc>
          <w:tcPr>
            <w:tcW w:w="12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8,702</w:t>
            </w:r>
          </w:p>
        </w:tc>
      </w:tr>
      <w:tr>
        <w:trPr>
          <w:trHeight w:val="20"/>
        </w:trPr>
        <w:tc>
          <w:tcPr>
            <w:tcW w:w="6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-2099945</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-1757045</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-1071245</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-1414145</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1"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associated with the launch of strategic projects including supply chain management improvements and technology infrastructure initiatives.</w:t>
      </w:r>
    </w:p>
    <w:p>
      <w:pPr>
        <w:spacing w:after="0" w:line="9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contested proxy and related legal and consulting costs and facility closure costs.</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severance and related expenses for the Company’s transition of executive officers and organizational redesign.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36830</wp:posOffset>
            </wp:positionV>
            <wp:extent cx="8572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344" w:lineRule="exact"/>
        <w:rPr>
          <w:sz w:val="20"/>
          <w:szCs w:val="20"/>
          <w:color w:val="auto"/>
        </w:rPr>
      </w:pPr>
    </w:p>
    <w:p>
      <w:pPr>
        <w:ind w:left="820" w:hanging="812"/>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(971)</w:t>
      </w:r>
    </w:p>
    <w:p>
      <w:pPr>
        <w:spacing w:after="0" w:line="63"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w:t>
      </w:r>
    </w:p>
    <w:p>
      <w:pPr>
        <w:spacing w:after="0" w:line="63"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(751)</w:t>
      </w:r>
    </w:p>
    <w:p>
      <w:pPr>
        <w:spacing w:after="0" w:line="63"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w:t>
      </w:r>
    </w:p>
    <w:p>
      <w:pPr>
        <w:spacing w:after="0" w:line="6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(1,865)</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115</w:t>
      </w:r>
    </w:p>
    <w:p>
      <w:pPr>
        <w:spacing w:after="0" w:line="6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3,154</w:t>
      </w:r>
    </w:p>
    <w:p>
      <w:pPr>
        <w:spacing w:after="0" w:line="90"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(364)</w:t>
      </w:r>
    </w:p>
    <w:p>
      <w:pPr>
        <w:spacing w:after="0" w:line="6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(736)</w:t>
      </w:r>
    </w:p>
    <w:p>
      <w:pPr>
        <w:spacing w:after="0" w:line="6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(206)</w:t>
      </w:r>
    </w:p>
    <w:p>
      <w:pPr>
        <w:spacing w:after="0" w:line="6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973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8572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30" w:lineRule="exact"/>
        <w:rPr>
          <w:sz w:val="20"/>
          <w:szCs w:val="20"/>
          <w:color w:val="auto"/>
        </w:rPr>
      </w:pPr>
    </w:p>
    <w:p>
      <w:pPr>
        <w:ind w:left="800" w:hanging="792"/>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8572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60325</wp:posOffset>
            </wp:positionV>
            <wp:extent cx="8572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1748" w:lineRule="exact"/>
        <w:rPr>
          <w:sz w:val="20"/>
          <w:szCs w:val="20"/>
          <w:color w:val="auto"/>
        </w:rPr>
      </w:pPr>
    </w:p>
    <w:p>
      <w:pPr>
        <w:sectPr>
          <w:pgSz w:w="11900" w:h="16838" w:orient="portrait"/>
          <w:cols w:equalWidth="0" w:num="2">
            <w:col w:w="9780" w:space="120"/>
            <w:col w:w="1340"/>
          </w:cols>
          <w:pgMar w:left="320" w:top="887" w:right="339" w:bottom="1440" w:gutter="0" w:footer="0" w:header="0"/>
          <w:type w:val="continuous"/>
        </w:sectPr>
      </w:pPr>
    </w:p>
    <w:p>
      <w:pPr>
        <w:spacing w:after="0" w:line="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2025, we had cash of approximately $16.1 million, checks issued not presented for payment of $5.0 million and access to approximately $60.0 million in additional funds through our $125.0 million line of credit, subject to a borrowing base calculation. We have funded working capital and other capital requirements primarily by cash flow from operations and bank loans. Cash is required to pay purchase costs for inventory, salaries, fuel and trucking expenses, selling expenses, rental expenses, income taxes, other operating expenses and to service debts.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cash flow generated from operations is sufficient to meet our normal working capital needs for at least the next twelve months. However, our ability to repay our current obligations will depend on the future realization of our current assets. Management has considered the historical experience, the economy, the trends in the foodservice distribution industry to determine the expected collectability of accounts receivable and the realization of inventories as of March 31, 2025.</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party to an amortizing interest rate swap contract with JPMorgan Chase for an initial notional amount of $120.0 million, expiring in March 2028, as a means to partially hedge our existing floating rate loans exposure. Pursuant to the agreement, we will pay the swap counterparty a fixed rate of 4.11% in exchange for floating payments based on CME Term SOFR.</w:t>
      </w:r>
    </w:p>
    <w:p>
      <w:pPr>
        <w:sectPr>
          <w:pgSz w:w="11900" w:h="16838" w:orient="portrait"/>
          <w:cols w:equalWidth="0" w:num="1">
            <w:col w:w="11240"/>
          </w:cols>
          <w:pgMar w:left="320" w:top="88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6" w:name="page27"/>
    <w:bookmarkEnd w:id="26"/>
    <w:p>
      <w:pPr>
        <w:jc w:val="both"/>
        <w:spacing w:after="0" w:line="258" w:lineRule="auto"/>
        <w:rPr>
          <w:sz w:val="20"/>
          <w:szCs w:val="20"/>
          <w:color w:val="auto"/>
        </w:rPr>
      </w:pPr>
      <w:r>
        <w:rPr>
          <w:rFonts w:ascii="Times New Roman" w:cs="Times New Roman" w:eastAsia="Times New Roman" w:hAnsi="Times New Roman"/>
          <w:sz w:val="18"/>
          <w:szCs w:val="18"/>
          <w:color w:val="auto"/>
        </w:rPr>
        <w:t>Management believes we have sufficient funds to meet our working capital requirements and debt obligations in the next twelve months. However, there are a number of factors that could potentially arise which might result in shortfalls in anticipated cash flow, such as the demand for our products, economic conditions, competitive pricing in the foodservice distribution industry, and our bank and suppliers being able to provide continued support. If the future cash flow from operations and other capital resources is insufficient to fund our liquidity needs, we may have to resort to reducing or delaying our expected capital investment plans, liquidating assets, obtaining additional debt or equity capital, or refinancing all or a portion of our debt.</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we have no off-balance sheet arrangements that currently have or are reasonably likely to have a material effect on our consolidated financial position, changes in financial condition, results of operations, liquidity, capital expenditures or capital resources.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cash flow data for the three months ended March 31, 2025 and 2024: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3"/>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5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8"/>
              </w:rPr>
              <w:t>6,948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w:t>
            </w:r>
          </w:p>
        </w:tc>
      </w:tr>
      <w:tr>
        <w:trPr>
          <w:trHeight w:val="27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23"/>
                <w:szCs w:val="23"/>
                <w:color w:val="auto"/>
              </w:rPr>
            </w:pPr>
          </w:p>
        </w:tc>
        <w:tc>
          <w:tcPr>
            <w:tcW w:w="1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(3,564)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7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w:t>
            </w:r>
          </w:p>
        </w:tc>
      </w:tr>
      <w:tr>
        <w:trPr>
          <w:trHeight w:val="26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8"/>
              </w:rPr>
              <w:t>1,632</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w:t>
            </w:r>
          </w:p>
        </w:tc>
      </w:tr>
      <w:tr>
        <w:trPr>
          <w:trHeight w:val="21"/>
        </w:trPr>
        <w:tc>
          <w:tcPr>
            <w:tcW w:w="6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consists primarily of net income adjusted for non-cash items, including depreciation and amortization, asset impairment charges, changes in deferred income taxes and others, and includes the effect of working capital changes. Net cash provided by operating activities decreased by $4.3 million primarily due to the timing of working capital outlays such as the increase of account receivable due to sales growth, inventory purchases to counter potential tariff increase partially offset by decreases in prepaid expenses.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increased by $1.0 million primarily due to increased capital project spend in the three months ended March 31,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decreased by $3.9 million to $1.8 million during the three months ended March 31, 2025 primarily due to the change in line of credit activity from net payments for the three months ended March 31, 2024 to net proceeds for the three months ended March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prepared the financial information in this Quarterly Report in accordance with GAAP. Preparing our condensed consolidated financial statements requires us to make estimates and assumptions that affect the reported amounts of assets and liabilities, the disclosure of contingent assets and liabilities at the date of the financial statements, and the reported amounts of revenues and expenses during these reporting periods. We base our estimates and judgments on historical experience and other factors we believe are reasonable under the circumstances. These assumptions form the basis for making judgments about the carrying value of assets and liabilities that are not readily apparent from other sources. Part II, Item 7 — “Management’s Discussion and Analysis of Financial Condition and Results of Operations” of the 2024 Annual Report on Form 10-K includes a summary of the critical accounting policies and estimates we believe are the most important to aid in understanding our financial results. There have been no changes to those critical accounting policies and estimates that have had a material impact on our reported amounts of assets, liabilities, revenue, or expenses during the three months ended March 31, 2025.</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continued declines in the level of stock price, the Company performed a quantitative goodwill impairment assessment as of December 31, 2024. The results of the testing as of December 31, 2024, concluded that the estimated fair value of the reporting unit fell short of carrying value, and therefore impairment existed as of that date. A goodwill impairment charge of $46.3 million was recorded during the fourth quarter of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jc w:val="both"/>
        <w:spacing w:after="0" w:line="253" w:lineRule="auto"/>
        <w:rPr>
          <w:sz w:val="20"/>
          <w:szCs w:val="20"/>
          <w:color w:val="auto"/>
        </w:rPr>
      </w:pPr>
      <w:r>
        <w:rPr>
          <w:rFonts w:ascii="Times New Roman" w:cs="Times New Roman" w:eastAsia="Times New Roman" w:hAnsi="Times New Roman"/>
          <w:sz w:val="18"/>
          <w:szCs w:val="18"/>
          <w:color w:val="auto"/>
        </w:rPr>
        <w:t>For the December 31, 2024 impairment test, we used a combination of discounted cash flow (“DCF”) model and market approaches, such as public company comparable analysis and comparable acquisitions analysis to determine fair value of the reporting unit. The income approach and market approaches were weighted equally to estimate fair value. The income approach requires detailed forecasts of cash flows, including significant assumptions such as revenue growth rates, gross profit margins, distribution, selling and administrative expenses, among other assumptions, and an estimate of weighted-average cost of capital which we believe approximate the assumptions from a market participant’s perspective. The market approaches are primarily impacted by an enterprise value multiple of EBITDA. These estimates incorporate many uncertain factors which could be impacted by changes in market conditions, interest rates, growth rate, tax rates, costs, customer behavior, regulatory environment and other macroeconomic changes. In addition, we considered the reasonableness of the fair value of the reporting unit by assessing the implied enterprise value control premium based on our market capitalization and also considered the lack of liquidity in the Company’s common stock. The Company’s common stock is fairly thinly traded, with a higher level of internal stockholders than its peers, and no major analyst coverage. As a result, the implied value from the traded stock price is based on limited investment public interest. Our market capitalization is calculated using the number of common shares outstanding and common stock publicly traded price. We determined that the implied control premium was reasonable which corroborates our fair value estimates. We categorize the fair value determination as Level 3 in the fair value hierarchy due to its use of internal projections and unobservable measurement inputs.</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Assumptions used in impairment testing are made at a point in time and require significant judgment; therefore, they are subject to change based on the facts and circumstances present at each impairment test date. Additionally, these assumptions are generally interdependent and do not change in isolation.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performed sensitivity analyses on the key inputs and assumptions used in determining the estimated fair value of our reporting unit by utilizing changes in assumptions that would reasonably likely occur. Assuming all other assumptions and inputs used in the fair value analysis are held constant, for the December 31, 2024 impairment test, a 100 basis point increase in the discount rate assumption, a 1x decrease in the respective EBITDA multiple assumptions, a 25 basis point decrease in the gross profit margin assumption, and a 50 basis point decrease in the revenue growth rate assumption would result in a decrease in the fair value of our reporting unit of approximately $11.6 million, $31.0 million, $7.3 million, and $5.5 million, respectively, which would likely result in further impairment. These estimated changes in fair value are not necessarily representative of the actual impairment that would be recorded in the event of a fair value decline.</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in future periods, the financial performance of the reporting unit does not meet forecasted expectations, or a prolonged decline occurs in the market price of our common stock, it may cause a change in the results of the impairment assessment and, as such, could result in further impairment of goodwill.</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that there were no events or circumstances during the three months ended March 31, 2025 that would more likely than not reduce the fair value of the reporting unit below its carrying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Pronouncements</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recent accounting pronouncements, see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to the condensed consolidated financial statements in this Quarterly Report on Form 10-Q.</w:t>
      </w:r>
    </w:p>
    <w:p>
      <w:pPr>
        <w:spacing w:after="0" w:line="18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debt exposes us to risk of fluctuations in interest rates. Floating rate debt, where the interest rate fluctuates periodically, exposes us to short-term changes in market interest rates. Fixed rate debt, where the interest rate is fixed over the life of the instrument, exposes us to changes in market interest rates reflected in the fair value of the debt and to the risk that we may need to refinance maturing debt with new debt at higher rates. We manage our debt portfolio to achieve an overall desired proportion of fixed and floating rate debts and may employ interest rate swaps as a tool from time to time to achieve that position. To manage our interest rate risk exposure, we entered into four interest rate swap contracts to hedge the floating rate term loans. See </w:t>
      </w:r>
      <w:r>
        <w:rPr>
          <w:rFonts w:ascii="Times New Roman" w:cs="Times New Roman" w:eastAsia="Times New Roman" w:hAnsi="Times New Roman"/>
          <w:sz w:val="18"/>
          <w:szCs w:val="18"/>
          <w:i w:val="1"/>
          <w:iCs w:val="1"/>
          <w:color w:val="auto"/>
        </w:rPr>
        <w:t>Note 7 -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 Financial Instruments </w:t>
      </w:r>
      <w:r>
        <w:rPr>
          <w:rFonts w:ascii="Times New Roman" w:cs="Times New Roman" w:eastAsia="Times New Roman" w:hAnsi="Times New Roman"/>
          <w:sz w:val="18"/>
          <w:szCs w:val="18"/>
          <w:color w:val="auto"/>
        </w:rPr>
        <w:t>to the condensed consolidated financial statements in this Quarterly Report on Form 10-Q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March 31, 2025, our aggregate floating rate debt’s outstanding principal balance without hedging was $60.8 million, or 36.6% of total debt, consisting primarily of our revolving line of credit (see </w:t>
      </w:r>
      <w:r>
        <w:rPr>
          <w:rFonts w:ascii="Times New Roman" w:cs="Times New Roman" w:eastAsia="Times New Roman" w:hAnsi="Times New Roman"/>
          <w:sz w:val="18"/>
          <w:szCs w:val="18"/>
          <w:i w:val="1"/>
          <w:iCs w:val="1"/>
          <w:color w:val="auto"/>
        </w:rPr>
        <w:t>Note 8 - Debt</w:t>
      </w:r>
      <w:r>
        <w:rPr>
          <w:rFonts w:ascii="Times New Roman" w:cs="Times New Roman" w:eastAsia="Times New Roman" w:hAnsi="Times New Roman"/>
          <w:sz w:val="18"/>
          <w:szCs w:val="18"/>
          <w:color w:val="auto"/>
        </w:rPr>
        <w:t xml:space="preserve"> to the condensed consolidated financial statements in this Quarterly Report on Form 10-Q). Our floating rate debt interest is based on the floating 1-month SOFR plus a predetermined credit adjustment rate plus the bank spread. The remaining 63.4% of our debt is on a fixed rate or a floating rate with hedging. In a hypothetical scenario, a 1% change in the applicable rate would cause the interest expense on our floating rate debt to change by approximately $0.6 million per year.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Fuel Price Risk</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exposed to risks relating to fluctuations in the price and availability of diesel fuel. We require significant quantities of diesel fuel for our vehicle fleet, and the inbound delivery of the products we sell is also dependent upon shipment by diesel-fueled vehicles. Additionally, elevated fuel costs can negatively impact consumer confidence and discretionary spending and thus reduce the frequency and amount spent by consumers for food-away-from-home purchases. We currently are able to obtain adequate supplies of diesel fuel, and average prices in the first quarter of 2025 decreased in comparison to average prices in the same period in 2024, decreasing 8.7% on average. However, it is impossible to predict the future availability or price of diesel fuel. The price and supply of diesel fuel fluctuates based on external factors not within our control, including geopolitical developments, supply and demand for oil and gas, regional production patterns, weather conditions and environmental concerns. Increases in the cost of diesel fuel could increase our cost of goods sold and operating costs to deliver products to our customers.</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actively hedge the price fluctuation of diesel fuel in general. Instead, we seek to minimize fuel cost risk through delivery route optimization and fleet utilization improvement.</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and accounting officer, we conducted an evaluation of the effectiveness of our disclosure controls and procedures, as such term is defined in Rules 13a-15(e) and 15d-15(e) under the Exchange Act, as of the end of the period covered by this report. In connection with this review and the audit of our consolidated financial statements for the year ended December 31, 2024, we identified material weaknesses as were reported previously, which continue to exist as of March 31, 2025. We did not properly design or maintain effective controls over the control environment, risk assessment, control activities, information and communication components and monitoring of the Committee of Sponsoring Organizations of the Treadway Commission in 2013.</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this evaluation, our principal executive officer and principal financial and accounting officer have concluded that as a result of the material weaknesses and control deficiencies as reported in our Annual Report on Form 10-K for the year ended December 31, 2024, our disclosure controls and procedures were not effective as of March 31, 2025. Notwithstanding the weaknesses, our management has concluded that the financial statements included elsewhere in this report present fairly, and in all material respects, our financial position, results of operation and cash flow in conformity with GAAP.</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 and Disclosure Controls</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Management remains committed to ongoing efforts to address material weaknesses. Although we will continue to implement measures to remedy our internal control deficiencies, there can be no assurance that our efforts will be successful or avoid potential future material weaknesses. In addition, until remediation steps have been completed and operated for a sufficient period of time, and subsequent evaluation of their effectiveness is completed, the material weaknesses previously identified will continue to exist.</w:t>
      </w:r>
    </w:p>
    <w:p>
      <w:pPr>
        <w:spacing w:after="0" w:line="20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than the actions taken to continue our material weaknesses remediation efforts, previously disclosed in our Annual Report on Form 10-K for the year ended December 31, 2024, there were no changes in our internal control over financial reporting (as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spacing w:after="0" w:line="282" w:lineRule="auto"/>
        <w:rPr>
          <w:sz w:val="20"/>
          <w:szCs w:val="20"/>
          <w:color w:val="auto"/>
        </w:rPr>
      </w:pPr>
      <w:r>
        <w:rPr>
          <w:rFonts w:ascii="Times New Roman" w:cs="Times New Roman" w:eastAsia="Times New Roman" w:hAnsi="Times New Roman"/>
          <w:sz w:val="18"/>
          <w:szCs w:val="18"/>
          <w:color w:val="auto"/>
        </w:rPr>
        <w:t>defined in Rules 13a-15(f) and 15d-15(f) under the Exchange Act) during the quarter ended March 31, 2025 that have materially affected, or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From time to time, we are a party to various lawsuits, claims and other legal proceedings that arise in the ordinary course of business. With respect to our outstanding legal matters, we believe that the amount or estimable range of reasonably possible loss will not, either individually or in the aggregate, have a material adverse effect on our business, consolidated financial position, results of operations, or cash flows. For information relating to legal proceedings, see </w:t>
      </w:r>
      <w:r>
        <w:rPr>
          <w:rFonts w:ascii="Times New Roman" w:cs="Times New Roman" w:eastAsia="Times New Roman" w:hAnsi="Times New Roman"/>
          <w:sz w:val="18"/>
          <w:szCs w:val="18"/>
          <w:i w:val="1"/>
          <w:iCs w:val="1"/>
          <w:color w:val="auto"/>
        </w:rPr>
        <w:t>Note 14 - Commitments and Contingencies</w:t>
      </w:r>
      <w:r>
        <w:rPr>
          <w:rFonts w:ascii="Times New Roman" w:cs="Times New Roman" w:eastAsia="Times New Roman" w:hAnsi="Times New Roman"/>
          <w:sz w:val="18"/>
          <w:szCs w:val="18"/>
          <w:color w:val="auto"/>
        </w:rPr>
        <w:t xml:space="preserve"> to our condensed consolidated financial statements.</w:t>
      </w:r>
    </w:p>
    <w:p>
      <w:pPr>
        <w:spacing w:after="0" w:line="31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disclosed in Item 1A of our Annual Report on Form 10-K for the year ended December 31, 2024.</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 from Registered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none of our officers or directors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1" w:name="page32"/>
    <w:bookmarkEnd w:id="31"/>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incorporated herein by reference or are filed or furnished with this report as indicated below:</w:t>
      </w:r>
    </w:p>
    <w:p>
      <w:pPr>
        <w:spacing w:after="0" w:line="100" w:lineRule="exact"/>
        <w:rPr>
          <w:sz w:val="20"/>
          <w:szCs w:val="20"/>
          <w:color w:val="auto"/>
        </w:rPr>
      </w:pPr>
    </w:p>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ectPr>
          <w:pgSz w:w="11900" w:h="16838" w:orient="portrait"/>
          <w:cols w:equalWidth="0" w:num="1">
            <w:col w:w="11240"/>
          </w:cols>
          <w:pgMar w:left="320" w:top="887" w:right="339" w:bottom="1440" w:gutter="0" w:footer="0" w:header="0"/>
        </w:sectPr>
      </w:pPr>
    </w:p>
    <w:p>
      <w:pPr>
        <w:spacing w:after="0" w:line="50" w:lineRule="exact"/>
        <w:rPr>
          <w:sz w:val="20"/>
          <w:szCs w:val="20"/>
          <w:color w:val="auto"/>
        </w:rPr>
      </w:pPr>
    </w:p>
    <w:p>
      <w:pPr>
        <w:ind w:left="20" w:right="140"/>
        <w:spacing w:after="0" w:line="239" w:lineRule="auto"/>
        <w:rPr>
          <w:sz w:val="20"/>
          <w:szCs w:val="20"/>
          <w:color w:val="auto"/>
        </w:rPr>
      </w:pPr>
      <w:r>
        <w:rPr>
          <w:rFonts w:ascii="Times New Roman" w:cs="Times New Roman" w:eastAsia="Times New Roman" w:hAnsi="Times New Roman"/>
          <w:sz w:val="18"/>
          <w:szCs w:val="18"/>
          <w:b w:val="1"/>
          <w:bCs w:val="1"/>
          <w:color w:val="auto"/>
        </w:rPr>
        <w:t>Exhibit Number</w:t>
      </w:r>
    </w:p>
    <w:p>
      <w:pPr>
        <w:spacing w:after="0" w:line="24"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53">
        <w:r>
          <w:rPr>
            <w:rFonts w:ascii="Times New Roman" w:cs="Times New Roman" w:eastAsia="Times New Roman" w:hAnsi="Times New Roman"/>
            <w:sz w:val="18"/>
            <w:szCs w:val="18"/>
            <w:u w:val="single" w:color="auto"/>
            <w:color w:val="0000FF"/>
          </w:rPr>
          <w:t>3.1</w:t>
        </w:r>
      </w:hyperlink>
    </w:p>
    <w:p>
      <w:pPr>
        <w:spacing w:after="0" w:line="27"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54">
        <w:r>
          <w:rPr>
            <w:rFonts w:ascii="Times New Roman" w:cs="Times New Roman" w:eastAsia="Times New Roman" w:hAnsi="Times New Roman"/>
            <w:sz w:val="18"/>
            <w:szCs w:val="18"/>
            <w:u w:val="single" w:color="auto"/>
            <w:color w:val="0000FF"/>
          </w:rPr>
          <w:t>3.2</w:t>
        </w:r>
      </w:hyperlink>
    </w:p>
    <w:p>
      <w:pPr>
        <w:spacing w:after="0" w:line="23"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55">
        <w:r>
          <w:rPr>
            <w:rFonts w:ascii="Times New Roman" w:cs="Times New Roman" w:eastAsia="Times New Roman" w:hAnsi="Times New Roman"/>
            <w:sz w:val="18"/>
            <w:szCs w:val="18"/>
            <w:u w:val="single" w:color="auto"/>
            <w:color w:val="0000FF"/>
          </w:rPr>
          <w:t>3.3</w:t>
        </w:r>
      </w:hyperlink>
    </w:p>
    <w:p>
      <w:pPr>
        <w:spacing w:after="0" w:line="11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56">
        <w:r>
          <w:rPr>
            <w:rFonts w:ascii="Times New Roman" w:cs="Times New Roman" w:eastAsia="Times New Roman" w:hAnsi="Times New Roman"/>
            <w:sz w:val="18"/>
            <w:szCs w:val="18"/>
            <w:u w:val="single" w:color="auto"/>
            <w:color w:val="0000FF"/>
          </w:rPr>
          <w:t>3.4</w:t>
        </w:r>
      </w:hyperlink>
    </w:p>
    <w:p>
      <w:pPr>
        <w:spacing w:after="0" w:line="117"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57">
        <w:r>
          <w:rPr>
            <w:rFonts w:ascii="Times New Roman" w:cs="Times New Roman" w:eastAsia="Times New Roman" w:hAnsi="Times New Roman"/>
            <w:sz w:val="18"/>
            <w:szCs w:val="18"/>
            <w:u w:val="single" w:color="auto"/>
            <w:color w:val="0000FF"/>
          </w:rPr>
          <w:t>4.1</w:t>
        </w:r>
      </w:hyperlink>
    </w:p>
    <w:p>
      <w:pPr>
        <w:spacing w:after="0" w:line="27"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58">
        <w:r>
          <w:rPr>
            <w:rFonts w:ascii="Times New Roman" w:cs="Times New Roman" w:eastAsia="Times New Roman" w:hAnsi="Times New Roman"/>
            <w:sz w:val="18"/>
            <w:szCs w:val="18"/>
            <w:u w:val="single" w:color="auto"/>
            <w:color w:val="0000FF"/>
          </w:rPr>
          <w:t>4.2</w:t>
        </w:r>
      </w:hyperlink>
    </w:p>
    <w:p>
      <w:pPr>
        <w:spacing w:after="0" w:line="11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59">
        <w:r>
          <w:rPr>
            <w:rFonts w:ascii="Times New Roman" w:cs="Times New Roman" w:eastAsia="Times New Roman" w:hAnsi="Times New Roman"/>
            <w:sz w:val="18"/>
            <w:szCs w:val="18"/>
            <w:u w:val="single" w:color="auto"/>
            <w:color w:val="0000FF"/>
          </w:rPr>
          <w:t>10.1</w:t>
        </w:r>
      </w:hyperlink>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31.1</w:t>
      </w:r>
      <w:r>
        <w:rPr>
          <w:rFonts w:ascii="Times New Roman" w:cs="Times New Roman" w:eastAsia="Times New Roman" w:hAnsi="Times New Roman"/>
          <w:sz w:val="18"/>
          <w:szCs w:val="18"/>
          <w:color w:val="000000"/>
        </w:rPr>
        <w:t>*</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31.2</w:t>
      </w:r>
      <w:r>
        <w:rPr>
          <w:rFonts w:ascii="Times New Roman" w:cs="Times New Roman" w:eastAsia="Times New Roman" w:hAnsi="Times New Roman"/>
          <w:sz w:val="18"/>
          <w:szCs w:val="18"/>
          <w:color w:val="000000"/>
        </w:rPr>
        <w:t>*</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32.1</w:t>
      </w:r>
      <w:r>
        <w:rPr>
          <w:rFonts w:ascii="Times New Roman" w:cs="Times New Roman" w:eastAsia="Times New Roman" w:hAnsi="Times New Roman"/>
          <w:sz w:val="18"/>
          <w:szCs w:val="18"/>
          <w:color w:val="000000"/>
        </w:rPr>
        <w:t>**</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32.2</w:t>
      </w:r>
      <w:r>
        <w:rPr>
          <w:rFonts w:ascii="Times New Roman" w:cs="Times New Roman" w:eastAsia="Times New Roman" w:hAnsi="Times New Roman"/>
          <w:sz w:val="18"/>
          <w:szCs w:val="18"/>
          <w:color w:val="000000"/>
        </w:rPr>
        <w:t>**</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ind w:left="-119"/>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19685</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53">
        <w:r>
          <w:rPr>
            <w:rFonts w:ascii="Times New Roman" w:cs="Times New Roman" w:eastAsia="Times New Roman" w:hAnsi="Times New Roman"/>
            <w:sz w:val="18"/>
            <w:szCs w:val="18"/>
            <w:u w:val="single" w:color="auto"/>
            <w:color w:val="0000FF"/>
          </w:rPr>
          <w:t>Second Amended and Restated Certificate of Incorporation</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54">
        <w:r>
          <w:rPr>
            <w:rFonts w:ascii="Times New Roman" w:cs="Times New Roman" w:eastAsia="Times New Roman" w:hAnsi="Times New Roman"/>
            <w:sz w:val="18"/>
            <w:szCs w:val="18"/>
            <w:u w:val="single" w:color="auto"/>
            <w:color w:val="0000FF"/>
          </w:rPr>
          <w:t>Amended and Restated Bylaws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14605</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55">
        <w:r>
          <w:rPr>
            <w:rFonts w:ascii="Times New Roman" w:cs="Times New Roman" w:eastAsia="Times New Roman" w:hAnsi="Times New Roman"/>
            <w:sz w:val="18"/>
            <w:szCs w:val="18"/>
            <w:u w:val="single" w:color="auto"/>
            <w:color w:val="0000FF"/>
          </w:rPr>
          <w:t>First Amendment to Amended and Restated Bylaws, dated April 25, 2023</w:t>
        </w:r>
      </w:hyperlink>
    </w:p>
    <w:p>
      <w:pPr>
        <w:spacing w:after="0" w:line="23" w:lineRule="exact"/>
        <w:rPr>
          <w:sz w:val="20"/>
          <w:szCs w:val="20"/>
          <w:color w:val="auto"/>
        </w:rPr>
      </w:pPr>
    </w:p>
    <w:p>
      <w:pPr>
        <w:ind w:right="200"/>
        <w:spacing w:after="0" w:line="234" w:lineRule="auto"/>
        <w:rPr>
          <w:rFonts w:ascii="Times New Roman" w:cs="Times New Roman" w:eastAsia="Times New Roman" w:hAnsi="Times New Roman"/>
          <w:sz w:val="18"/>
          <w:szCs w:val="18"/>
          <w:u w:val="single" w:color="auto"/>
          <w:color w:val="0000FF"/>
        </w:rPr>
      </w:pPr>
      <w:hyperlink r:id="rId56">
        <w:r>
          <w:rPr>
            <w:rFonts w:ascii="Times New Roman" w:cs="Times New Roman" w:eastAsia="Times New Roman" w:hAnsi="Times New Roman"/>
            <w:sz w:val="18"/>
            <w:szCs w:val="18"/>
            <w:u w:val="single" w:color="auto"/>
            <w:color w:val="0000FF"/>
          </w:rPr>
          <w:t>Certificate of Designation of Rights, Preferences and Privileges of Series A Participating</w:t>
        </w:r>
      </w:hyperlink>
      <w:r>
        <w:rPr>
          <w:rFonts w:ascii="Times New Roman" w:cs="Times New Roman" w:eastAsia="Times New Roman" w:hAnsi="Times New Roman"/>
          <w:sz w:val="18"/>
          <w:szCs w:val="18"/>
          <w:u w:val="single" w:color="auto"/>
          <w:color w:val="0000FF"/>
        </w:rPr>
        <w:t xml:space="preserve"> </w:t>
      </w:r>
      <w:hyperlink r:id="rId56">
        <w:r>
          <w:rPr>
            <w:rFonts w:ascii="Times New Roman" w:cs="Times New Roman" w:eastAsia="Times New Roman" w:hAnsi="Times New Roman"/>
            <w:sz w:val="18"/>
            <w:szCs w:val="18"/>
            <w:u w:val="single" w:color="auto"/>
            <w:color w:val="0000FF"/>
          </w:rPr>
          <w:t>Preferred Stock</w:t>
        </w:r>
      </w:hyperlink>
    </w:p>
    <w:p>
      <w:pPr>
        <w:spacing w:after="0" w:line="1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57">
        <w:r>
          <w:rPr>
            <w:rFonts w:ascii="Times New Roman" w:cs="Times New Roman" w:eastAsia="Times New Roman" w:hAnsi="Times New Roman"/>
            <w:sz w:val="18"/>
            <w:szCs w:val="18"/>
            <w:u w:val="single" w:color="auto"/>
            <w:color w:val="0000FF"/>
          </w:rPr>
          <w:t>Specimen Common Stock Certificate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-127635</wp:posOffset>
            </wp:positionV>
            <wp:extent cx="713232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58">
        <w:r>
          <w:rPr>
            <w:rFonts w:ascii="Times New Roman" w:cs="Times New Roman" w:eastAsia="Times New Roman" w:hAnsi="Times New Roman"/>
            <w:sz w:val="18"/>
            <w:szCs w:val="18"/>
            <w:u w:val="single" w:color="auto"/>
            <w:color w:val="0000FF"/>
          </w:rPr>
          <w:t>Form of Unit Purchase Option between the Registrant and Chardan Capital Markets,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14605</wp:posOffset>
            </wp:positionV>
            <wp:extent cx="7132320" cy="265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 w:lineRule="exact"/>
        <w:rPr>
          <w:sz w:val="20"/>
          <w:szCs w:val="20"/>
          <w:color w:val="auto"/>
        </w:rPr>
      </w:pPr>
    </w:p>
    <w:p>
      <w:pPr>
        <w:spacing w:after="0" w:line="234" w:lineRule="auto"/>
        <w:rPr>
          <w:rFonts w:ascii="Times New Roman" w:cs="Times New Roman" w:eastAsia="Times New Roman" w:hAnsi="Times New Roman"/>
          <w:sz w:val="18"/>
          <w:szCs w:val="18"/>
          <w:u w:val="single" w:color="auto"/>
          <w:color w:val="0000FF"/>
        </w:rPr>
      </w:pPr>
      <w:hyperlink r:id="rId59">
        <w:r>
          <w:rPr>
            <w:rFonts w:ascii="Times New Roman" w:cs="Times New Roman" w:eastAsia="Times New Roman" w:hAnsi="Times New Roman"/>
            <w:sz w:val="18"/>
            <w:szCs w:val="18"/>
            <w:u w:val="single" w:color="auto"/>
            <w:color w:val="0000FF"/>
          </w:rPr>
          <w:t>Amendment No. 4 to Third Amended and Restated Credit Agreement, dated as of February</w:t>
        </w:r>
      </w:hyperlink>
      <w:r>
        <w:rPr>
          <w:rFonts w:ascii="Times New Roman" w:cs="Times New Roman" w:eastAsia="Times New Roman" w:hAnsi="Times New Roman"/>
          <w:sz w:val="18"/>
          <w:szCs w:val="18"/>
          <w:u w:val="single" w:color="auto"/>
          <w:color w:val="0000FF"/>
        </w:rPr>
        <w:t xml:space="preserve"> </w:t>
      </w:r>
      <w:hyperlink r:id="rId59">
        <w:r>
          <w:rPr>
            <w:rFonts w:ascii="Times New Roman" w:cs="Times New Roman" w:eastAsia="Times New Roman" w:hAnsi="Times New Roman"/>
            <w:sz w:val="18"/>
            <w:szCs w:val="18"/>
            <w:u w:val="single" w:color="auto"/>
            <w:color w:val="0000FF"/>
          </w:rPr>
          <w:t>12, 2025</w:t>
        </w:r>
      </w:hyperlink>
    </w:p>
    <w:p>
      <w:pPr>
        <w:spacing w:after="0" w:line="10" w:lineRule="exact"/>
        <w:rPr>
          <w:sz w:val="20"/>
          <w:szCs w:val="20"/>
          <w:color w:val="auto"/>
        </w:rPr>
      </w:pPr>
    </w:p>
    <w:p>
      <w:pPr>
        <w:ind w:right="44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 Rule 13a-14 and Rule 15d-14(a), promulgated under the Securities and Exchange Act of 1934, as amended.</w:t>
      </w:r>
    </w:p>
    <w:p>
      <w:pPr>
        <w:spacing w:after="0" w:line="10" w:lineRule="exact"/>
        <w:rPr>
          <w:sz w:val="20"/>
          <w:szCs w:val="20"/>
          <w:color w:val="auto"/>
        </w:rPr>
      </w:pPr>
    </w:p>
    <w:p>
      <w:pPr>
        <w:ind w:right="50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 Rule 13a-14 and Rule 15d-14(a), promulgated under the Securities and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-255905</wp:posOffset>
            </wp:positionV>
            <wp:extent cx="7132320" cy="265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right="26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 18 U.S.C. Section 1350, as adopted pursuant to Section 906 of the Sarbanes-Oxley Act of 2002.</w:t>
      </w:r>
    </w:p>
    <w:p>
      <w:pPr>
        <w:spacing w:after="0" w:line="10" w:lineRule="exact"/>
        <w:rPr>
          <w:sz w:val="20"/>
          <w:szCs w:val="20"/>
          <w:color w:val="auto"/>
        </w:rPr>
      </w:pPr>
    </w:p>
    <w:p>
      <w:pPr>
        <w:ind w:right="32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-255905</wp:posOffset>
            </wp:positionV>
            <wp:extent cx="7132320" cy="2660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17145</wp:posOffset>
            </wp:positionV>
            <wp:extent cx="713232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14605</wp:posOffset>
            </wp:positionV>
            <wp:extent cx="713232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14605</wp:posOffset>
            </wp:positionV>
            <wp:extent cx="713232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83185</wp:posOffset>
            </wp:positionV>
            <wp:extent cx="71151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7"/>
        </w:trPr>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80" w:type="dxa"/>
            <w:vAlign w:val="bottom"/>
          </w:tcPr>
          <w:p>
            <w:pPr>
              <w:spacing w:after="0"/>
              <w:rPr>
                <w:sz w:val="18"/>
                <w:szCs w:val="18"/>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8"/>
              </w:rPr>
              <w:t>11/5/2019</w:t>
            </w:r>
          </w:p>
        </w:tc>
      </w:tr>
      <w:tr>
        <w:trPr>
          <w:trHeight w:val="23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9"/>
                <w:szCs w:val="19"/>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8"/>
              </w:rPr>
              <w:t>11/4/2022</w:t>
            </w:r>
          </w:p>
        </w:tc>
      </w:tr>
      <w:tr>
        <w:trPr>
          <w:trHeight w:val="23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8"/>
              </w:rPr>
              <w:t>4/26/2023</w:t>
            </w:r>
          </w:p>
        </w:tc>
      </w:tr>
      <w:tr>
        <w:trPr>
          <w:trHeight w:val="32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8"/>
              </w:rPr>
              <w:t>4/12/2023</w:t>
            </w:r>
          </w:p>
        </w:tc>
      </w:tr>
      <w:tr>
        <w:trPr>
          <w:trHeight w:val="319"/>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8"/>
              </w:rPr>
              <w:t>7/28/2017</w:t>
            </w:r>
          </w:p>
        </w:tc>
      </w:tr>
      <w:tr>
        <w:trPr>
          <w:trHeight w:val="23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8"/>
              </w:rPr>
              <w:t>7/28/2017</w:t>
            </w:r>
          </w:p>
        </w:tc>
      </w:tr>
      <w:tr>
        <w:trPr>
          <w:trHeight w:val="32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8"/>
              </w:rPr>
              <w:t>2/18/2025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-1473835</wp:posOffset>
            </wp:positionV>
            <wp:extent cx="2040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3496" w:lineRule="exact"/>
        <w:rPr>
          <w:sz w:val="20"/>
          <w:szCs w:val="20"/>
          <w:color w:val="auto"/>
        </w:rPr>
      </w:pPr>
    </w:p>
    <w:p>
      <w:pPr>
        <w:sectPr>
          <w:pgSz w:w="11900" w:h="16838" w:orient="portrait"/>
          <w:cols w:equalWidth="0" w:num="3">
            <w:col w:w="800" w:space="420"/>
            <w:col w:w="6580" w:space="220"/>
            <w:col w:w="3220"/>
          </w:cols>
          <w:pgMar w:left="320" w:top="887" w:right="339" w:bottom="1440" w:gutter="0" w:footer="0" w:header="0"/>
          <w:type w:val="continuous"/>
        </w:sectPr>
      </w:pPr>
    </w:p>
    <w:p>
      <w:pPr>
        <w:ind w:left="600" w:hanging="574"/>
        <w:spacing w:after="0"/>
        <w:tabs>
          <w:tab w:leader="none" w:pos="6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32" w:lineRule="exact"/>
        <w:rPr>
          <w:sz w:val="20"/>
          <w:szCs w:val="20"/>
          <w:color w:val="auto"/>
        </w:rPr>
      </w:pPr>
    </w:p>
    <w:p>
      <w:pPr>
        <w:jc w:val="both"/>
        <w:ind w:left="600" w:right="60" w:hanging="574"/>
        <w:spacing w:after="0" w:line="232" w:lineRule="auto"/>
        <w:tabs>
          <w:tab w:leader="none" w:pos="6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certification is being furnished and shall not be deemed “filed” with the SEC for purposes of Section 18 of the Exchange Act, or otherwise subject to the liability of that section, and shall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2" w:name="page33"/>
    <w:bookmarkEnd w:id="3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HF Foods Group Inc.</w:t>
      </w:r>
    </w:p>
    <w:p>
      <w:pPr>
        <w:spacing w:after="0" w:line="18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By: /s/ Felix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17145</wp:posOffset>
            </wp:positionV>
            <wp:extent cx="41744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4174490" cy="8255"/>
                    </a:xfrm>
                    <a:prstGeom prst="rect">
                      <a:avLst/>
                    </a:prstGeom>
                    <a:noFill/>
                  </pic:spPr>
                </pic:pic>
              </a:graphicData>
            </a:graphic>
          </wp:anchor>
        </w:drawing>
      </w:r>
    </w:p>
    <w:p>
      <w:pPr>
        <w:spacing w:after="0" w:line="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Felix Lin</w:t>
      </w:r>
    </w:p>
    <w:p>
      <w:pPr>
        <w:ind w:left="4680"/>
        <w:spacing w:after="0" w:line="203"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46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7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By: /s/ Cindy Yao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17145</wp:posOffset>
            </wp:positionV>
            <wp:extent cx="41744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4174490" cy="8255"/>
                    </a:xfrm>
                    <a:prstGeom prst="rect">
                      <a:avLst/>
                    </a:prstGeom>
                    <a:noFill/>
                  </pic:spPr>
                </pic:pic>
              </a:graphicData>
            </a:graphic>
          </wp:anchor>
        </w:drawing>
      </w:r>
    </w:p>
    <w:p>
      <w:pPr>
        <w:spacing w:after="0" w:line="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Cindy Yao</w:t>
      </w:r>
    </w:p>
    <w:p>
      <w:pPr>
        <w:ind w:left="4680"/>
        <w:spacing w:after="0" w:line="203" w:lineRule="auto"/>
        <w:rPr>
          <w:sz w:val="20"/>
          <w:szCs w:val="20"/>
          <w:color w:val="auto"/>
        </w:rPr>
      </w:pPr>
      <w:r>
        <w:rPr>
          <w:rFonts w:ascii="Times New Roman" w:cs="Times New Roman" w:eastAsia="Times New Roman" w:hAnsi="Times New Roman"/>
          <w:sz w:val="18"/>
          <w:szCs w:val="18"/>
          <w:color w:val="auto"/>
        </w:rPr>
        <w:t>Chief Financial Officer</w:t>
      </w:r>
    </w:p>
    <w:p>
      <w:pPr>
        <w:ind w:left="4680"/>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Date: May 12, 2025</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00"/>
          </w:cols>
          <w:pgMar w:left="320" w:top="887" w:right="37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Felix Lin, certify that:</w:t>
      </w:r>
    </w:p>
    <w:p>
      <w:pPr>
        <w:spacing w:after="0" w:line="225"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HF Foods Group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80" w:hanging="248"/>
        <w:spacing w:after="0" w:line="266" w:lineRule="auto"/>
        <w:tabs>
          <w:tab w:leader="none" w:pos="57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80" w:hanging="248"/>
        <w:spacing w:after="0" w:line="266" w:lineRule="auto"/>
        <w:tabs>
          <w:tab w:leader="none" w:pos="5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80" w:hanging="248"/>
        <w:spacing w:after="0" w:line="282" w:lineRule="auto"/>
        <w:tabs>
          <w:tab w:leader="none" w:pos="57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80" w:hanging="248"/>
        <w:spacing w:after="0" w:line="266" w:lineRule="auto"/>
        <w:tabs>
          <w:tab w:leader="none" w:pos="5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5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80" w:hanging="248"/>
        <w:spacing w:after="0" w:line="282" w:lineRule="auto"/>
        <w:tabs>
          <w:tab w:leader="none" w:pos="57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80" w:hanging="248"/>
        <w:spacing w:after="0" w:line="282" w:lineRule="auto"/>
        <w:tabs>
          <w:tab w:leader="none" w:pos="5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852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Felix Lin</w:t>
            </w:r>
          </w:p>
        </w:tc>
      </w:tr>
      <w:tr>
        <w:trPr>
          <w:trHeight w:val="218"/>
        </w:trPr>
        <w:tc>
          <w:tcPr>
            <w:tcW w:w="27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Felix Lin</w:t>
            </w:r>
          </w:p>
        </w:tc>
      </w:tr>
      <w:tr>
        <w:trPr>
          <w:trHeight w:val="234"/>
        </w:trPr>
        <w:tc>
          <w:tcPr>
            <w:tcW w:w="27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Cindy Yao, certify that:</w:t>
      </w:r>
    </w:p>
    <w:p>
      <w:pPr>
        <w:spacing w:after="0" w:line="225"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HF Foods Group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80" w:hanging="248"/>
        <w:spacing w:after="0" w:line="266" w:lineRule="auto"/>
        <w:tabs>
          <w:tab w:leader="none" w:pos="57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80" w:hanging="248"/>
        <w:spacing w:after="0" w:line="266" w:lineRule="auto"/>
        <w:tabs>
          <w:tab w:leader="none" w:pos="5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80" w:hanging="248"/>
        <w:spacing w:after="0" w:line="282" w:lineRule="auto"/>
        <w:tabs>
          <w:tab w:leader="none" w:pos="57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80" w:hanging="248"/>
        <w:spacing w:after="0" w:line="266" w:lineRule="auto"/>
        <w:tabs>
          <w:tab w:leader="none" w:pos="5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5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80" w:hanging="248"/>
        <w:spacing w:after="0" w:line="282" w:lineRule="auto"/>
        <w:tabs>
          <w:tab w:leader="none" w:pos="57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80" w:hanging="248"/>
        <w:spacing w:after="0" w:line="282" w:lineRule="auto"/>
        <w:tabs>
          <w:tab w:leader="none" w:pos="5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79" w:lineRule="exact"/>
        <w:rPr>
          <w:sz w:val="20"/>
          <w:szCs w:val="20"/>
          <w:color w:val="auto"/>
        </w:rPr>
      </w:pPr>
    </w:p>
    <w:p>
      <w:pPr>
        <w:ind w:left="20"/>
        <w:spacing w:after="0"/>
        <w:tabs>
          <w:tab w:leader="none" w:pos="5760" w:val="left"/>
          <w:tab w:leader="none" w:pos="6220" w:val="left"/>
        </w:tabs>
        <w:rPr>
          <w:sz w:val="20"/>
          <w:szCs w:val="20"/>
          <w:color w:val="auto"/>
        </w:rPr>
      </w:pPr>
      <w:r>
        <w:rPr>
          <w:rFonts w:ascii="Times New Roman" w:cs="Times New Roman" w:eastAsia="Times New Roman" w:hAnsi="Times New Roman"/>
          <w:sz w:val="18"/>
          <w:szCs w:val="18"/>
          <w:color w:val="auto"/>
        </w:rPr>
        <w:t>Date: May 12,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Cindy Yao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18415</wp:posOffset>
            </wp:positionV>
            <wp:extent cx="31718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Cindy Yao</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03"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 of Chief Executive Officer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HF Foods Group Inc. (the “Company”) for the quarterly period ended March 31, 2025 as filed with the Securities and Exchange Commission on the date hereof (the “Report”), I, Felix Lin, President and Chief Executive Officer of the Company, certify, to the best of my knowledge and belief, pursuant to 18 U.S.C. § 1350, as adopted pursuant to § 906 of the Sarbanes-Oxley Act of 2002, that:</w:t>
      </w:r>
    </w:p>
    <w:p>
      <w:pPr>
        <w:spacing w:after="0" w:line="180" w:lineRule="exact"/>
        <w:rPr>
          <w:sz w:val="20"/>
          <w:szCs w:val="20"/>
          <w:color w:val="auto"/>
        </w:rPr>
      </w:pPr>
    </w:p>
    <w:p>
      <w:pPr>
        <w:ind w:left="980" w:hanging="324"/>
        <w:spacing w:after="0" w:line="282" w:lineRule="auto"/>
        <w:tabs>
          <w:tab w:leader="none" w:pos="105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78m(a) or 78o(d));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08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85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Felix Lin</w:t>
            </w:r>
          </w:p>
        </w:tc>
      </w:tr>
      <w:tr>
        <w:trPr>
          <w:trHeight w:val="218"/>
        </w:trPr>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Felix Lin</w:t>
            </w:r>
          </w:p>
        </w:tc>
      </w:tr>
      <w:tr>
        <w:trPr>
          <w:trHeight w:val="234"/>
        </w:trPr>
        <w:tc>
          <w:tcPr>
            <w:tcW w:w="27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1103"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 of Chief Financial Officer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HF Foods Group Inc. (the “Company”) for the quarterly period ended March 31, 2025 as filed with the Securities and Exchange Commission on the date hereof (the “Report”), I, Cindy Yao, Chief Financial Officer, certify, to the best of my knowledge and belief, pursuant to 18 U.S.C. § 1350, as adopted pursuant to § 906 of the Sarbanes-Oxley Act of 2002, that:</w:t>
      </w:r>
    </w:p>
    <w:p>
      <w:pPr>
        <w:spacing w:after="0" w:line="176" w:lineRule="exact"/>
        <w:rPr>
          <w:sz w:val="20"/>
          <w:szCs w:val="20"/>
          <w:color w:val="auto"/>
        </w:rPr>
      </w:pPr>
    </w:p>
    <w:p>
      <w:pPr>
        <w:ind w:left="980" w:hanging="324"/>
        <w:spacing w:after="0" w:line="282" w:lineRule="auto"/>
        <w:tabs>
          <w:tab w:leader="none" w:pos="105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78m(a) or 78o(d));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08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79" w:lineRule="exact"/>
        <w:rPr>
          <w:sz w:val="20"/>
          <w:szCs w:val="20"/>
          <w:color w:val="auto"/>
        </w:rPr>
      </w:pPr>
    </w:p>
    <w:p>
      <w:pPr>
        <w:ind w:left="20"/>
        <w:spacing w:after="0"/>
        <w:tabs>
          <w:tab w:leader="none" w:pos="5760" w:val="left"/>
          <w:tab w:leader="none" w:pos="6220" w:val="left"/>
        </w:tabs>
        <w:rPr>
          <w:sz w:val="20"/>
          <w:szCs w:val="20"/>
          <w:color w:val="auto"/>
        </w:rPr>
      </w:pPr>
      <w:r>
        <w:rPr>
          <w:rFonts w:ascii="Times New Roman" w:cs="Times New Roman" w:eastAsia="Times New Roman" w:hAnsi="Times New Roman"/>
          <w:sz w:val="18"/>
          <w:szCs w:val="18"/>
          <w:color w:val="auto"/>
        </w:rPr>
        <w:t>Date: May 12,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Cindy Yao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18415</wp:posOffset>
            </wp:positionV>
            <wp:extent cx="31718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Cindy Yao</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lvl w:ilvl="1">
      <w:lvlJc w:val="left"/>
      <w:lvlText w:val="☐"/>
      <w:numFmt w:val="bullet"/>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lowerLetter"/>
      <w:start w:val="1"/>
    </w:lvl>
  </w:abstractNum>
  <w:abstractNum w:abstractNumId="4">
    <w:nsid w:val="3352255A"/>
    <w:multiLevelType w:val="hybridMultilevel"/>
    <w:lvl w:ilvl="0">
      <w:lvlJc w:val="left"/>
      <w:lvlText w:val="(%1)"/>
      <w:numFmt w:val="lowerLetter"/>
      <w:start w:val="1"/>
    </w:lvl>
  </w:abstractNum>
  <w:abstractNum w:abstractNumId="5">
    <w:nsid w:val="109CF92E"/>
    <w:multiLevelType w:val="hybridMultilevel"/>
    <w:lvl w:ilvl="0">
      <w:lvlJc w:val="left"/>
      <w:lvlText w:val="(%1)"/>
      <w:numFmt w:val="lowerLetter"/>
      <w:start w:val="1"/>
    </w:lvl>
  </w:abstractNum>
  <w:abstractNum w:abstractNumId="6">
    <w:nsid w:val="DED7263"/>
    <w:multiLevelType w:val="hybridMultilevel"/>
    <w:lvl w:ilvl="0">
      <w:lvlJc w:val="left"/>
      <w:lvlText w:val="(%1)"/>
      <w:numFmt w:val="lowerLetter"/>
      <w:start w:val="1"/>
    </w:lvl>
  </w:abstractNum>
  <w:abstractNum w:abstractNumId="7">
    <w:nsid w:val="7FDCC233"/>
    <w:multiLevelType w:val="hybridMultilevel"/>
    <w:lvl w:ilvl="0">
      <w:lvlJc w:val="left"/>
      <w:lvlText w:val="(%1)"/>
      <w:numFmt w:val="lowerLetter"/>
      <w:start w:val="1"/>
    </w:lvl>
  </w:abstractNum>
  <w:abstractNum w:abstractNumId="8">
    <w:nsid w:val="1BEFD79F"/>
    <w:multiLevelType w:val="hybridMultilevel"/>
    <w:lvl w:ilvl="0">
      <w:lvlJc w:val="left"/>
      <w:lvlText w:val="(%1)"/>
      <w:numFmt w:val="lowerLetter"/>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53" Type="http://schemas.openxmlformats.org/officeDocument/2006/relationships/hyperlink" Target="https://www.sec.gov/Archives/edgar/data/1680873/000143774919021487/ex_162902.htm" TargetMode="External"/><Relationship Id="rId54" Type="http://schemas.openxmlformats.org/officeDocument/2006/relationships/hyperlink" Target="https://www.sec.gov/Archives/edgar/data/1680873/000168087322000056/ex302-arbylawsxnovember2022.htm" TargetMode="External"/><Relationship Id="rId55" Type="http://schemas.openxmlformats.org/officeDocument/2006/relationships/hyperlink" Target="https://www.sec.gov/Archives/edgar/data/1680873/000168087323000016/exhibit31-bylawamendment.htm" TargetMode="External"/><Relationship Id="rId56" Type="http://schemas.openxmlformats.org/officeDocument/2006/relationships/hyperlink" Target="https://www.sec.gov/Archives/edgar/data/1680873/000119312523098200/d425223dex31.htm" TargetMode="External"/><Relationship Id="rId57" Type="http://schemas.openxmlformats.org/officeDocument/2006/relationships/hyperlink" Target="https://www.sec.gov/Archives/edgar/data/1680873/000161577417003872/s106920_ex4-2.htm" TargetMode="External"/><Relationship Id="rId58" Type="http://schemas.openxmlformats.org/officeDocument/2006/relationships/hyperlink" Target="https://www.sec.gov/Archives/edgar/data/1680873/000161577417003872/s106920_ex4-5.htm" TargetMode="External"/><Relationship Id="rId59" Type="http://schemas.openxmlformats.org/officeDocument/2006/relationships/hyperlink" Target="https://www.sec.gov/Archives/edgar/data/1680873/000162828025005956/ex101-4thamendmenttojpmc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2025-05-12T15:28:15Z</dcterms:created>
  <dcterms:modified xsi:type="dcterms:W3CDTF">2025-05-12T15:28:15Z</dcterms:modified>
</cp:coreProperties>
</file>