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38" w:lineRule="exact"/>
        <w:rPr>
          <w:sz w:val="24"/>
          <w:szCs w:val="24"/>
          <w:color w:val="auto"/>
        </w:rPr>
      </w:pPr>
    </w:p>
    <w:p>
      <w:pPr>
        <w:ind w:left="34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w:t>
      </w:r>
    </w:p>
    <w:p>
      <w:pPr>
        <w:spacing w:after="0" w:line="143" w:lineRule="exact"/>
        <w:rPr>
          <w:sz w:val="24"/>
          <w:szCs w:val="24"/>
          <w:color w:val="auto"/>
        </w:rPr>
      </w:pPr>
    </w:p>
    <w:p>
      <w:pPr>
        <w:ind w:left="5180"/>
        <w:spacing w:after="0"/>
        <w:rPr>
          <w:sz w:val="20"/>
          <w:szCs w:val="20"/>
          <w:color w:val="auto"/>
        </w:rPr>
      </w:pPr>
      <w:r>
        <w:rPr>
          <w:rFonts w:ascii="Arial" w:cs="Arial" w:eastAsia="Arial" w:hAnsi="Arial"/>
          <w:sz w:val="16"/>
          <w:szCs w:val="16"/>
          <w:b w:val="1"/>
          <w:bCs w:val="1"/>
          <w:color w:val="auto"/>
        </w:rPr>
        <w:t>FORM 10-Q</w:t>
      </w:r>
    </w:p>
    <w:p>
      <w:pPr>
        <w:spacing w:after="0" w:line="21" w:lineRule="exact"/>
        <w:rPr>
          <w:sz w:val="24"/>
          <w:szCs w:val="24"/>
          <w:color w:val="auto"/>
        </w:rPr>
      </w:pPr>
    </w:p>
    <w:p>
      <w:pPr>
        <w:ind w:left="5240"/>
        <w:spacing w:after="0"/>
        <w:rPr>
          <w:sz w:val="20"/>
          <w:szCs w:val="20"/>
          <w:color w:val="auto"/>
        </w:rPr>
      </w:pPr>
      <w:r>
        <w:rPr>
          <w:rFonts w:ascii="Arial" w:cs="Arial" w:eastAsia="Arial" w:hAnsi="Arial"/>
          <w:sz w:val="16"/>
          <w:szCs w:val="16"/>
          <w:color w:val="auto"/>
        </w:rPr>
        <w:t>(Mark one)</w:t>
      </w:r>
    </w:p>
    <w:p>
      <w:pPr>
        <w:spacing w:after="0" w:line="219" w:lineRule="exact"/>
        <w:rPr>
          <w:sz w:val="24"/>
          <w:szCs w:val="24"/>
          <w:color w:val="auto"/>
        </w:rPr>
      </w:pPr>
    </w:p>
    <w:p>
      <w:pPr>
        <w:jc w:val="center"/>
        <w:ind w:left="3680" w:right="1360" w:hanging="2329"/>
        <w:spacing w:after="0" w:line="460" w:lineRule="auto"/>
        <w:tabs>
          <w:tab w:leader="none" w:pos="155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2025</w:t>
      </w:r>
    </w:p>
    <w:p>
      <w:pPr>
        <w:spacing w:after="0" w:line="37" w:lineRule="exact"/>
        <w:rPr>
          <w:rFonts w:ascii="MS PGothic" w:cs="MS PGothic" w:eastAsia="MS PGothic" w:hAnsi="MS PGothic"/>
          <w:sz w:val="16"/>
          <w:szCs w:val="16"/>
          <w:color w:val="auto"/>
        </w:rPr>
      </w:pPr>
    </w:p>
    <w:p>
      <w:pPr>
        <w:ind w:left="1560" w:hanging="185"/>
        <w:spacing w:after="0"/>
        <w:tabs>
          <w:tab w:leader="none" w:pos="156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3" w:lineRule="exact"/>
        <w:rPr>
          <w:rFonts w:ascii="MS PGothic" w:cs="MS PGothic" w:eastAsia="MS PGothic" w:hAnsi="MS PGothic"/>
          <w:sz w:val="16"/>
          <w:szCs w:val="16"/>
          <w:color w:val="auto"/>
        </w:rPr>
      </w:pPr>
    </w:p>
    <w:p>
      <w:pPr>
        <w:ind w:left="3060"/>
        <w:spacing w:after="0"/>
        <w:rPr>
          <w:rFonts w:ascii="MS PGothic" w:cs="MS PGothic" w:eastAsia="MS PGothic" w:hAnsi="MS PGothic"/>
          <w:sz w:val="16"/>
          <w:szCs w:val="16"/>
          <w:color w:val="auto"/>
        </w:rPr>
      </w:pPr>
      <w:r>
        <w:rPr>
          <w:rFonts w:ascii="Arial" w:cs="Arial" w:eastAsia="Arial" w:hAnsi="Arial"/>
          <w:sz w:val="16"/>
          <w:szCs w:val="16"/>
          <w:color w:val="auto"/>
        </w:rPr>
        <w:t xml:space="preserve">For the transition period from </w:t>
      </w:r>
      <w:r>
        <w:rPr>
          <w:rFonts w:ascii="Arial" w:cs="Arial" w:eastAsia="Arial" w:hAnsi="Arial"/>
          <w:sz w:val="10"/>
          <w:szCs w:val="10"/>
          <w:color w:val="auto"/>
        </w:rPr>
        <w:t>_______________________</w:t>
      </w:r>
      <w:r>
        <w:rPr>
          <w:rFonts w:ascii="Arial" w:cs="Arial" w:eastAsia="Arial" w:hAnsi="Arial"/>
          <w:sz w:val="16"/>
          <w:szCs w:val="16"/>
          <w:color w:val="auto"/>
        </w:rPr>
        <w:t xml:space="preserve"> to </w:t>
      </w:r>
      <w:r>
        <w:rPr>
          <w:rFonts w:ascii="Arial" w:cs="Arial" w:eastAsia="Arial" w:hAnsi="Arial"/>
          <w:sz w:val="10"/>
          <w:szCs w:val="10"/>
          <w:color w:val="auto"/>
        </w:rPr>
        <w:t>_______________________</w:t>
      </w:r>
      <w:r>
        <w:rPr>
          <w:rFonts w:ascii="Arial" w:cs="Arial" w:eastAsia="Arial" w:hAnsi="Arial"/>
          <w:sz w:val="16"/>
          <w:szCs w:val="16"/>
          <w:color w:val="auto"/>
        </w:rPr>
        <w:t>.</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001-38180</w:t>
      </w:r>
    </w:p>
    <w:p>
      <w:pPr>
        <w:spacing w:after="0" w:line="154" w:lineRule="exact"/>
        <w:rPr>
          <w:sz w:val="24"/>
          <w:szCs w:val="24"/>
          <w:color w:val="auto"/>
        </w:rPr>
      </w:pPr>
    </w:p>
    <w:p>
      <w:pPr>
        <w:ind w:left="34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107950</wp:posOffset>
            </wp:positionV>
            <wp:extent cx="246888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HF FOODS GROUP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30" w:lineRule="exact"/>
        <w:rPr>
          <w:sz w:val="24"/>
          <w:szCs w:val="24"/>
          <w:color w:val="auto"/>
        </w:rPr>
      </w:pPr>
    </w:p>
    <w:tbl>
      <w:tblPr>
        <w:tblLayout w:type="fixed"/>
        <w:tblInd w:w="720" w:type="dxa"/>
        <w:tblCellMar>
          <w:top w:w="0" w:type="dxa"/>
          <w:left w:w="0" w:type="dxa"/>
          <w:bottom w:w="0" w:type="dxa"/>
          <w:right w:w="0" w:type="dxa"/>
        </w:tblCellMar>
      </w:tblPr>
      <w:tr>
        <w:trPr>
          <w:trHeight w:val="184"/>
        </w:trPr>
        <w:tc>
          <w:tcPr>
            <w:tcW w:w="5300" w:type="dxa"/>
            <w:vAlign w:val="bottom"/>
          </w:tcPr>
          <w:p>
            <w:pPr>
              <w:jc w:val="center"/>
              <w:ind w:right="1059"/>
              <w:spacing w:after="0"/>
              <w:rPr>
                <w:sz w:val="20"/>
                <w:szCs w:val="20"/>
                <w:color w:val="auto"/>
              </w:rPr>
            </w:pPr>
            <w:r>
              <w:rPr>
                <w:rFonts w:ascii="Arial" w:cs="Arial" w:eastAsia="Arial" w:hAnsi="Arial"/>
                <w:sz w:val="16"/>
                <w:szCs w:val="16"/>
                <w:b w:val="1"/>
                <w:bCs w:val="1"/>
                <w:color w:val="auto"/>
              </w:rPr>
              <w:t>Delaware</w:t>
            </w:r>
          </w:p>
        </w:tc>
        <w:tc>
          <w:tcPr>
            <w:tcW w:w="3620" w:type="dxa"/>
            <w:vAlign w:val="bottom"/>
          </w:tcPr>
          <w:p>
            <w:pPr>
              <w:jc w:val="right"/>
              <w:ind w:right="719"/>
              <w:spacing w:after="0"/>
              <w:rPr>
                <w:sz w:val="20"/>
                <w:szCs w:val="20"/>
                <w:color w:val="auto"/>
              </w:rPr>
            </w:pPr>
            <w:r>
              <w:rPr>
                <w:rFonts w:ascii="Arial" w:cs="Arial" w:eastAsia="Arial" w:hAnsi="Arial"/>
                <w:sz w:val="16"/>
                <w:szCs w:val="16"/>
                <w:b w:val="1"/>
                <w:bCs w:val="1"/>
                <w:color w:val="auto"/>
              </w:rPr>
              <w:t>81-2717873</w:t>
            </w:r>
          </w:p>
        </w:tc>
      </w:tr>
      <w:tr>
        <w:trPr>
          <w:trHeight w:val="228"/>
        </w:trPr>
        <w:tc>
          <w:tcPr>
            <w:tcW w:w="5300" w:type="dxa"/>
            <w:vAlign w:val="bottom"/>
          </w:tcPr>
          <w:p>
            <w:pPr>
              <w:jc w:val="center"/>
              <w:ind w:right="1039"/>
              <w:spacing w:after="0"/>
              <w:rPr>
                <w:sz w:val="20"/>
                <w:szCs w:val="20"/>
                <w:color w:val="auto"/>
              </w:rPr>
            </w:pPr>
            <w:r>
              <w:rPr>
                <w:rFonts w:ascii="Arial" w:cs="Arial" w:eastAsia="Arial" w:hAnsi="Arial"/>
                <w:sz w:val="16"/>
                <w:szCs w:val="16"/>
                <w:color w:val="auto"/>
              </w:rPr>
              <w:t>(State or other jurisdiction of incorporation or organization)</w:t>
            </w:r>
          </w:p>
        </w:tc>
        <w:tc>
          <w:tcPr>
            <w:tcW w:w="3620" w:type="dxa"/>
            <w:vAlign w:val="bottom"/>
          </w:tcPr>
          <w:p>
            <w:pPr>
              <w:jc w:val="center"/>
              <w:ind w:left="1059"/>
              <w:spacing w:after="0"/>
              <w:rPr>
                <w:sz w:val="20"/>
                <w:szCs w:val="20"/>
                <w:color w:val="auto"/>
              </w:rPr>
            </w:pPr>
            <w:r>
              <w:rPr>
                <w:rFonts w:ascii="Arial" w:cs="Arial" w:eastAsia="Arial" w:hAnsi="Arial"/>
                <w:sz w:val="16"/>
                <w:szCs w:val="16"/>
                <w:color w:val="auto"/>
              </w:rPr>
              <w:t>(I.R.S. Employer Identification No.)</w:t>
            </w:r>
          </w:p>
        </w:tc>
      </w:tr>
    </w:tbl>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6325 South Rainbow Boulevard, Suite 420, Las Vegas, NV 89118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 (Zip Code)</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(888) 905-0998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$0.0001 par value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HFFG</w:t>
            </w: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Capital Market</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Preferred Share Purchase Rights</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N/A</w:t>
            </w: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Capital Market</w:t>
            </w:r>
          </w:p>
        </w:tc>
      </w:tr>
    </w:tbl>
    <w:p>
      <w:pPr>
        <w:spacing w:after="0" w:line="94" w:lineRule="exact"/>
        <w:rPr>
          <w:sz w:val="24"/>
          <w:szCs w:val="24"/>
          <w:color w:val="auto"/>
        </w:rPr>
      </w:pPr>
    </w:p>
    <w:p>
      <w:pPr>
        <w:jc w:val="both"/>
        <w:ind w:right="44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ind w:right="2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54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54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6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5060" w:type="dxa"/>
            <w:vAlign w:val="bottom"/>
          </w:tcPr>
          <w:p>
            <w:pPr>
              <w:ind w:left="254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4"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ind w:right="2180"/>
        <w:spacing w:after="0" w:line="30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7, 2025, the registrant had 53,043,832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HF Foods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 for the Quarter Ended September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780" w:type="dxa"/>
            <w:vAlign w:val="bottom"/>
          </w:tcPr>
          <w:p>
            <w:pPr>
              <w:ind w:left="3880"/>
              <w:spacing w:after="0"/>
              <w:rPr>
                <w:sz w:val="20"/>
                <w:szCs w:val="20"/>
                <w:color w:val="auto"/>
              </w:rPr>
            </w:pPr>
            <w:r>
              <w:rPr>
                <w:rFonts w:ascii="Arial" w:cs="Arial" w:eastAsia="Arial" w:hAnsi="Arial"/>
                <w:sz w:val="16"/>
                <w:szCs w:val="16"/>
                <w:b w:val="1"/>
                <w:bCs w:val="1"/>
                <w:color w:val="auto"/>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8"/>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978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6"/>
                <w:szCs w:val="16"/>
                <w:b w:val="1"/>
                <w:bCs w:val="1"/>
                <w:color w:val="auto"/>
                <w:w w:val="99"/>
              </w:rPr>
              <w:t>Page</w:t>
            </w:r>
          </w:p>
        </w:tc>
      </w:tr>
      <w:tr>
        <w:trPr>
          <w:trHeight w:val="183"/>
        </w:trPr>
        <w:tc>
          <w:tcPr>
            <w:tcW w:w="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7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PART I.</w:t>
            </w:r>
          </w:p>
        </w:tc>
        <w:tc>
          <w:tcPr>
            <w:tcW w:w="97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FINANCIAL INFORMATION</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9780" w:type="dxa"/>
            <w:vAlign w:val="bottom"/>
          </w:tcPr>
          <w:p>
            <w:pPr>
              <w:ind w:left="120"/>
              <w:spacing w:after="0"/>
              <w:rPr>
                <w:sz w:val="20"/>
                <w:szCs w:val="20"/>
                <w:color w:val="auto"/>
              </w:rPr>
            </w:pPr>
            <w:r>
              <w:rPr>
                <w:rFonts w:ascii="Arial" w:cs="Arial" w:eastAsia="Arial" w:hAnsi="Arial"/>
                <w:sz w:val="16"/>
                <w:szCs w:val="16"/>
                <w:color w:val="auto"/>
              </w:rPr>
              <w:t>Financial Statements</w:t>
            </w: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Condensed Consolidated Balance Sheets (Unaudited)</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80" w:type="dxa"/>
            <w:vAlign w:val="bottom"/>
          </w:tcPr>
          <w:p>
            <w:pPr>
              <w:ind w:left="460"/>
              <w:spacing w:after="0"/>
              <w:rPr>
                <w:sz w:val="20"/>
                <w:szCs w:val="20"/>
                <w:color w:val="auto"/>
              </w:rPr>
            </w:pPr>
            <w:r>
              <w:rPr>
                <w:rFonts w:ascii="Arial" w:cs="Arial" w:eastAsia="Arial" w:hAnsi="Arial"/>
                <w:sz w:val="16"/>
                <w:szCs w:val="16"/>
                <w:color w:val="auto"/>
              </w:rPr>
              <w:t>Condensed Consolidated Statements of Operations and Comprehensive Loss (Unaudited)</w:t>
            </w: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Condensed Consolidated Statements of Cash Flows (Unaudited)</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80" w:type="dxa"/>
            <w:vAlign w:val="bottom"/>
          </w:tcPr>
          <w:p>
            <w:pPr>
              <w:ind w:left="460"/>
              <w:spacing w:after="0"/>
              <w:rPr>
                <w:sz w:val="20"/>
                <w:szCs w:val="20"/>
                <w:color w:val="auto"/>
              </w:rPr>
            </w:pPr>
            <w:r>
              <w:rPr>
                <w:rFonts w:ascii="Arial" w:cs="Arial" w:eastAsia="Arial" w:hAnsi="Arial"/>
                <w:sz w:val="16"/>
                <w:szCs w:val="16"/>
                <w:color w:val="auto"/>
              </w:rPr>
              <w:t>Condensed Consolidated Statements of Changes in Shareholders’ Equity (Unaudited)</w:t>
            </w: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Notes to Unaudited Condensed Consolidated Financial Statements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9780" w:type="dxa"/>
            <w:vAlign w:val="bottom"/>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38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3.</w:t>
            </w:r>
          </w:p>
        </w:tc>
        <w:tc>
          <w:tcPr>
            <w:tcW w:w="9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Quantitative and Qualitative Disclosures about Market Risk</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9780" w:type="dxa"/>
            <w:vAlign w:val="bottom"/>
          </w:tcPr>
          <w:p>
            <w:pPr>
              <w:ind w:left="120"/>
              <w:spacing w:after="0"/>
              <w:rPr>
                <w:sz w:val="20"/>
                <w:szCs w:val="20"/>
                <w:color w:val="auto"/>
              </w:rPr>
            </w:pPr>
            <w:r>
              <w:rPr>
                <w:rFonts w:ascii="Arial" w:cs="Arial" w:eastAsia="Arial" w:hAnsi="Arial"/>
                <w:sz w:val="16"/>
                <w:szCs w:val="16"/>
                <w:color w:val="auto"/>
              </w:rPr>
              <w:t>Controls and Procedures</w:t>
            </w: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8"/>
                <w:szCs w:val="18"/>
                <w:color w:val="auto"/>
              </w:rPr>
            </w:pPr>
          </w:p>
        </w:tc>
      </w:tr>
      <w:tr>
        <w:trPr>
          <w:trHeight w:val="163"/>
        </w:trPr>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PART II.</w:t>
            </w:r>
          </w:p>
        </w:tc>
        <w:tc>
          <w:tcPr>
            <w:tcW w:w="9780" w:type="dxa"/>
            <w:vAlign w:val="bottom"/>
          </w:tcPr>
          <w:p>
            <w:pPr>
              <w:ind w:left="120"/>
              <w:spacing w:after="0"/>
              <w:rPr>
                <w:sz w:val="20"/>
                <w:szCs w:val="20"/>
                <w:color w:val="auto"/>
              </w:rPr>
            </w:pPr>
            <w:r>
              <w:rPr>
                <w:rFonts w:ascii="Arial" w:cs="Arial" w:eastAsia="Arial" w:hAnsi="Arial"/>
                <w:sz w:val="16"/>
                <w:szCs w:val="16"/>
                <w:b w:val="1"/>
                <w:bCs w:val="1"/>
                <w:color w:val="auto"/>
              </w:rPr>
              <w:t>OTHER INFORMATION</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1.</w:t>
            </w:r>
          </w:p>
        </w:tc>
        <w:tc>
          <w:tcPr>
            <w:tcW w:w="9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Legal Proceedings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780" w:type="dxa"/>
            <w:vAlign w:val="bottom"/>
          </w:tcPr>
          <w:p>
            <w:pPr>
              <w:ind w:left="120"/>
              <w:spacing w:after="0"/>
              <w:rPr>
                <w:sz w:val="20"/>
                <w:szCs w:val="20"/>
                <w:color w:val="auto"/>
              </w:rPr>
            </w:pPr>
            <w:r>
              <w:rPr>
                <w:rFonts w:ascii="Arial" w:cs="Arial" w:eastAsia="Arial" w:hAnsi="Arial"/>
                <w:sz w:val="16"/>
                <w:szCs w:val="16"/>
                <w:color w:val="auto"/>
              </w:rPr>
              <w:t>Risk Factors</w:t>
            </w:r>
          </w:p>
        </w:tc>
        <w:tc>
          <w:tcPr>
            <w:tcW w:w="38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2.</w:t>
            </w:r>
          </w:p>
        </w:tc>
        <w:tc>
          <w:tcPr>
            <w:tcW w:w="9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Unregistered Sales of Equity Securities and Use of Proceeds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9780" w:type="dxa"/>
            <w:vAlign w:val="bottom"/>
          </w:tcPr>
          <w:p>
            <w:pPr>
              <w:ind w:left="120"/>
              <w:spacing w:after="0"/>
              <w:rPr>
                <w:sz w:val="20"/>
                <w:szCs w:val="20"/>
                <w:color w:val="auto"/>
              </w:rPr>
            </w:pPr>
            <w:r>
              <w:rPr>
                <w:rFonts w:ascii="Arial" w:cs="Arial" w:eastAsia="Arial" w:hAnsi="Arial"/>
                <w:sz w:val="16"/>
                <w:szCs w:val="16"/>
                <w:color w:val="auto"/>
              </w:rPr>
              <w:t>Defaults Upon Senior Securities</w:t>
            </w:r>
          </w:p>
        </w:tc>
        <w:tc>
          <w:tcPr>
            <w:tcW w:w="38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4.</w:t>
            </w:r>
          </w:p>
        </w:tc>
        <w:tc>
          <w:tcPr>
            <w:tcW w:w="9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Mine Safety Disclosures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5.</w:t>
            </w:r>
          </w:p>
        </w:tc>
        <w:tc>
          <w:tcPr>
            <w:tcW w:w="9780" w:type="dxa"/>
            <w:vAlign w:val="bottom"/>
          </w:tcPr>
          <w:p>
            <w:pPr>
              <w:ind w:left="120"/>
              <w:spacing w:after="0"/>
              <w:rPr>
                <w:sz w:val="20"/>
                <w:szCs w:val="20"/>
                <w:color w:val="auto"/>
              </w:rPr>
            </w:pPr>
            <w:r>
              <w:rPr>
                <w:rFonts w:ascii="Arial" w:cs="Arial" w:eastAsia="Arial" w:hAnsi="Arial"/>
                <w:sz w:val="16"/>
                <w:szCs w:val="16"/>
                <w:color w:val="auto"/>
              </w:rPr>
              <w:t>Other Information</w:t>
            </w:r>
          </w:p>
        </w:tc>
        <w:tc>
          <w:tcPr>
            <w:tcW w:w="38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6.</w:t>
            </w:r>
          </w:p>
        </w:tc>
        <w:tc>
          <w:tcPr>
            <w:tcW w:w="9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Exhibits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9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108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SIGNATURE PAGE</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18"/>
                <w:szCs w:val="18"/>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9"/>
        </w:trPr>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PART I.</w:t>
            </w:r>
          </w:p>
        </w:tc>
        <w:tc>
          <w:tcPr>
            <w:tcW w:w="6360" w:type="dxa"/>
            <w:vAlign w:val="bottom"/>
          </w:tcPr>
          <w:p>
            <w:pPr>
              <w:ind w:left="60"/>
              <w:spacing w:after="0"/>
              <w:rPr>
                <w:sz w:val="20"/>
                <w:szCs w:val="20"/>
                <w:color w:val="auto"/>
              </w:rPr>
            </w:pPr>
            <w:r>
              <w:rPr>
                <w:rFonts w:ascii="Arial" w:cs="Arial" w:eastAsia="Arial" w:hAnsi="Arial"/>
                <w:sz w:val="16"/>
                <w:szCs w:val="16"/>
                <w:b w:val="1"/>
                <w:bCs w:val="1"/>
                <w:color w:val="auto"/>
              </w:rPr>
              <w:t>FINANCIAL INFORMATION</w:t>
            </w: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ITEM 1.</w:t>
            </w:r>
          </w:p>
        </w:tc>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Financial Statements.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60" w:type="dxa"/>
            <w:vAlign w:val="bottom"/>
          </w:tcPr>
          <w:p>
            <w:pPr>
              <w:jc w:val="center"/>
              <w:ind w:left="3339"/>
              <w:spacing w:after="0"/>
              <w:rPr>
                <w:sz w:val="20"/>
                <w:szCs w:val="20"/>
                <w:color w:val="auto"/>
              </w:rPr>
            </w:pPr>
            <w:r>
              <w:rPr>
                <w:rFonts w:ascii="Arial" w:cs="Arial" w:eastAsia="Arial" w:hAnsi="Arial"/>
                <w:sz w:val="16"/>
                <w:szCs w:val="16"/>
                <w:b w:val="1"/>
                <w:bCs w:val="1"/>
                <w:color w:val="auto"/>
              </w:rPr>
              <w:t>HF Foods Group Inc. and Subsidiaries</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520" w:type="dxa"/>
            <w:vAlign w:val="bottom"/>
            <w:gridSpan w:val="2"/>
          </w:tcPr>
          <w:p>
            <w:pPr>
              <w:jc w:val="center"/>
              <w:ind w:left="3159"/>
              <w:spacing w:after="0"/>
              <w:rPr>
                <w:sz w:val="20"/>
                <w:szCs w:val="20"/>
                <w:color w:val="auto"/>
              </w:rPr>
            </w:pPr>
            <w:r>
              <w:rPr>
                <w:rFonts w:ascii="Arial" w:cs="Arial" w:eastAsia="Arial" w:hAnsi="Arial"/>
                <w:sz w:val="16"/>
                <w:szCs w:val="16"/>
                <w:b w:val="1"/>
                <w:bCs w:val="1"/>
                <w:color w:val="auto"/>
              </w:rPr>
              <w:t>Condensed Consolidated Balance Sheets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360" w:type="dxa"/>
            <w:vAlign w:val="bottom"/>
          </w:tcPr>
          <w:p>
            <w:pPr>
              <w:jc w:val="center"/>
              <w:ind w:left="3339"/>
              <w:spacing w:after="0"/>
              <w:rPr>
                <w:sz w:val="20"/>
                <w:szCs w:val="20"/>
                <w:color w:val="auto"/>
              </w:rPr>
            </w:pPr>
            <w:r>
              <w:rPr>
                <w:rFonts w:ascii="Arial" w:cs="Arial" w:eastAsia="Arial" w:hAnsi="Arial"/>
                <w:sz w:val="16"/>
                <w:szCs w:val="16"/>
                <w:b w:val="1"/>
                <w:bCs w:val="1"/>
                <w:color w:val="auto"/>
              </w:rPr>
              <w:t>(In thousands, except share data)</w:t>
            </w: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60" w:type="dxa"/>
            <w:vAlign w:val="bottom"/>
          </w:tcPr>
          <w:p>
            <w:pPr>
              <w:jc w:val="center"/>
              <w:ind w:left="3339"/>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2025</w:t>
            </w:r>
          </w:p>
        </w:tc>
        <w:tc>
          <w:tcPr>
            <w:tcW w:w="200" w:type="dxa"/>
            <w:vAlign w:val="bottom"/>
          </w:tcPr>
          <w:p>
            <w:pPr>
              <w:spacing w:after="0"/>
              <w:rPr>
                <w:sz w:val="19"/>
                <w:szCs w:val="19"/>
                <w:color w:val="auto"/>
              </w:rPr>
            </w:pPr>
          </w:p>
        </w:tc>
        <w:tc>
          <w:tcPr>
            <w:tcW w:w="184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9"/>
              </w:rPr>
              <w:t>ASSETS</w:t>
            </w:r>
          </w:p>
        </w:tc>
        <w:tc>
          <w:tcPr>
            <w:tcW w:w="6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w:t>
            </w:r>
          </w:p>
        </w:tc>
        <w:tc>
          <w:tcPr>
            <w:tcW w:w="6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14,467</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 of allowances of $1,199 and $1,557</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53,525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54,107</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 - related parties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135,496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97,783</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11,507</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208,371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178,103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149,572</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26,801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13,944</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Customer relationships, net</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128,690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136,615</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Trademarks, trade names and other intangibles, net</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24,911</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Goodwill</w:t>
            </w:r>
          </w:p>
        </w:tc>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38,815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38,815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5,681</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595,083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549,991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Checks issued not presented for payment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Arial" w:cs="Arial" w:eastAsia="Arial" w:hAnsi="Arial"/>
                <w:sz w:val="16"/>
                <w:szCs w:val="16"/>
                <w:color w:val="auto"/>
              </w:rPr>
              <w:t>Line of credit</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67,162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57,483</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50,592</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Arial" w:cs="Arial" w:eastAsia="Arial" w:hAnsi="Arial"/>
                <w:sz w:val="16"/>
                <w:szCs w:val="16"/>
                <w:color w:val="auto"/>
              </w:rPr>
              <w:t>Accounts payable - related parties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 net</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Arial" w:cs="Arial" w:eastAsia="Arial" w:hAnsi="Arial"/>
                <w:sz w:val="16"/>
                <w:szCs w:val="16"/>
                <w:color w:val="auto"/>
              </w:rPr>
              <w:t>Current portion of obligations under finance leases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6,463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3,797</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Current portion of obligations under operating leases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4,177</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18,001</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175,053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145,199</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Long-term debt, net of current portion</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100,266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103,324</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Obligations under finance leases, non-current</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19,929</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Obligations under operating leases, non-current</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23,764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10,125</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29,392</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354,221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308,697</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COMMITMENTS AND CONTINGENCIES (Note 15)</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704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Series A Participating Preferred Stock, par value $0.001; 100,000 shares authorized, no</w:t>
            </w:r>
          </w:p>
        </w:tc>
        <w:tc>
          <w:tcPr>
            <w:tcW w:w="160" w:type="dxa"/>
            <w:vAlign w:val="bottom"/>
          </w:tcPr>
          <w:p>
            <w:pPr>
              <w:spacing w:after="0"/>
              <w:rPr>
                <w:sz w:val="14"/>
                <w:szCs w:val="14"/>
                <w:color w:val="auto"/>
              </w:rPr>
            </w:pPr>
          </w:p>
        </w:tc>
        <w:tc>
          <w:tcPr>
            <w:tcW w:w="1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Arial" w:cs="Arial" w:eastAsia="Arial" w:hAnsi="Arial"/>
                <w:sz w:val="16"/>
                <w:szCs w:val="16"/>
                <w:color w:val="auto"/>
              </w:rPr>
              <w:t>shares issued and outstanding</w:t>
            </w:r>
          </w:p>
        </w:tc>
        <w:tc>
          <w:tcPr>
            <w:tcW w:w="16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7040" w:type="dxa"/>
            <w:vAlign w:val="bottom"/>
            <w:gridSpan w:val="2"/>
            <w:shd w:val="clear" w:color="auto" w:fill="CCEEFF"/>
          </w:tcPr>
          <w:p>
            <w:pPr>
              <w:ind w:left="220"/>
              <w:spacing w:after="0" w:line="163" w:lineRule="exact"/>
              <w:rPr>
                <w:sz w:val="20"/>
                <w:szCs w:val="20"/>
                <w:color w:val="auto"/>
              </w:rPr>
            </w:pPr>
            <w:r>
              <w:rPr>
                <w:rFonts w:ascii="Arial" w:cs="Arial" w:eastAsia="Arial" w:hAnsi="Arial"/>
                <w:sz w:val="16"/>
                <w:szCs w:val="16"/>
                <w:color w:val="auto"/>
              </w:rPr>
              <w:t>Preferred Stock, $0.001 par value; 1,000,000 shares authorized; no shares issued and</w:t>
            </w:r>
          </w:p>
        </w:tc>
        <w:tc>
          <w:tcPr>
            <w:tcW w:w="160" w:type="dxa"/>
            <w:vAlign w:val="bottom"/>
            <w:shd w:val="clear" w:color="auto" w:fill="CCEEFF"/>
          </w:tcPr>
          <w:p>
            <w:pPr>
              <w:spacing w:after="0"/>
              <w:rPr>
                <w:sz w:val="14"/>
                <w:szCs w:val="14"/>
                <w:color w:val="auto"/>
              </w:rPr>
            </w:pPr>
          </w:p>
        </w:tc>
        <w:tc>
          <w:tcPr>
            <w:tcW w:w="1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outstanding</w:t>
            </w:r>
          </w:p>
        </w:tc>
        <w:tc>
          <w:tcPr>
            <w:tcW w:w="160" w:type="dxa"/>
            <w:vAlign w:val="bottom"/>
            <w:shd w:val="clear" w:color="auto" w:fill="CCEEFF"/>
          </w:tcPr>
          <w:p>
            <w:pPr>
              <w:spacing w:after="0"/>
              <w:rPr>
                <w:sz w:val="18"/>
                <w:szCs w:val="18"/>
                <w:color w:val="auto"/>
              </w:rPr>
            </w:pPr>
          </w:p>
        </w:tc>
        <w:tc>
          <w:tcPr>
            <w:tcW w:w="1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704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Common Stock, $0.0001 par value; 100,000,000 shares authorized; 55,041,255 and</w:t>
            </w: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704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54,735,073 shares issued and 53,043,832 and 52,737,650 shares outstanding as of</w:t>
            </w:r>
          </w:p>
        </w:tc>
        <w:tc>
          <w:tcPr>
            <w:tcW w:w="16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Arial" w:cs="Arial" w:eastAsia="Arial" w:hAnsi="Arial"/>
                <w:sz w:val="16"/>
                <w:szCs w:val="16"/>
                <w:color w:val="auto"/>
              </w:rPr>
              <w:t>September 30, 2025 and December 31, 2024, respectively</w:t>
            </w:r>
          </w:p>
        </w:tc>
        <w:tc>
          <w:tcPr>
            <w:tcW w:w="16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Treasury stock, at cost; 1,997,423 shares as of September 30, 2025 and December 31, 2024</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(7,750)</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605,697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604,235</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(358,744)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(357,199)</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SHAREHOLDERS’ EQUITY ATTRIBUTABLE TO HF FOODS GROUP INC.</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239,208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239,291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TOTAL SHAREHOLDERS’ EQUITY</w:t>
            </w: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240,862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241,294</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19"/>
                <w:szCs w:val="19"/>
                <w:color w:val="auto"/>
              </w:rPr>
            </w:pP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595,083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549,991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200"/>
          </w:cols>
          <w:pgMar w:left="320" w:top="1003" w:right="379" w:bottom="1440" w:gutter="0" w:footer="0" w:header="0"/>
        </w:sect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type w:val="continuous"/>
        </w:sectPr>
      </w:pPr>
    </w:p>
    <w:bookmarkStart w:id="3" w:name="page4"/>
    <w:bookmarkEnd w:id="3"/>
    <w:p>
      <w:pPr>
        <w:jc w:val="center"/>
        <w:ind w:right="-59"/>
        <w:spacing w:after="0"/>
        <w:rPr>
          <w:sz w:val="20"/>
          <w:szCs w:val="20"/>
          <w:color w:val="auto"/>
        </w:rPr>
      </w:pPr>
      <w:r>
        <w:rPr>
          <w:rFonts w:ascii="Arial" w:cs="Arial" w:eastAsia="Arial" w:hAnsi="Arial"/>
          <w:sz w:val="16"/>
          <w:szCs w:val="16"/>
          <w:b w:val="1"/>
          <w:bCs w:val="1"/>
          <w:color w:val="auto"/>
        </w:rPr>
        <w:t>HF Foods Group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30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 third parties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916,781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893,786</w:t>
            </w:r>
          </w:p>
        </w:tc>
        <w:tc>
          <w:tcPr>
            <w:tcW w:w="0" w:type="dxa"/>
            <w:vAlign w:val="bottom"/>
          </w:tcPr>
          <w:p>
            <w:pPr>
              <w:spacing w:after="0"/>
              <w:rPr>
                <w:sz w:val="1"/>
                <w:szCs w:val="1"/>
                <w:color w:val="auto"/>
              </w:rPr>
            </w:pPr>
          </w:p>
        </w:tc>
      </w:tr>
      <w:tr>
        <w:trPr>
          <w:trHeight w:val="215"/>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revenue - related parties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NET REVENUE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306,978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298,389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920,259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896,385</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 third parties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760,663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740,969</w:t>
            </w:r>
          </w:p>
        </w:tc>
        <w:tc>
          <w:tcPr>
            <w:tcW w:w="0" w:type="dxa"/>
            <w:vAlign w:val="bottom"/>
          </w:tcPr>
          <w:p>
            <w:pPr>
              <w:spacing w:after="0"/>
              <w:rPr>
                <w:sz w:val="1"/>
                <w:szCs w:val="1"/>
                <w:color w:val="auto"/>
              </w:rPr>
            </w:pPr>
          </w:p>
        </w:tc>
      </w:tr>
      <w:tr>
        <w:trPr>
          <w:trHeight w:val="215"/>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 - related parties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COST OF REVENUE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256,569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248,226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763,759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743,346</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GROSS PROFIT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50,409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50,163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153,039</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selling and administrative expenses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49,652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150,107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149,988</w:t>
            </w:r>
          </w:p>
        </w:tc>
        <w:tc>
          <w:tcPr>
            <w:tcW w:w="0" w:type="dxa"/>
            <w:vAlign w:val="bottom"/>
          </w:tcPr>
          <w:p>
            <w:pPr>
              <w:spacing w:after="0"/>
              <w:rPr>
                <w:sz w:val="1"/>
                <w:szCs w:val="1"/>
                <w:color w:val="auto"/>
              </w:rPr>
            </w:pPr>
          </w:p>
        </w:tc>
      </w:tr>
      <w:tr>
        <w:trPr>
          <w:trHeight w:val="209"/>
        </w:trPr>
        <w:tc>
          <w:tcPr>
            <w:tcW w:w="4520" w:type="dxa"/>
            <w:vAlign w:val="bottom"/>
          </w:tcPr>
          <w:p>
            <w:pPr>
              <w:ind w:left="2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1,120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6,393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3,051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8,597</w:t>
            </w: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w:t>
            </w:r>
          </w:p>
        </w:tc>
        <w:tc>
          <w:tcPr>
            <w:tcW w:w="0" w:type="dxa"/>
            <w:vAlign w:val="bottom"/>
          </w:tcPr>
          <w:p>
            <w:pPr>
              <w:spacing w:after="0"/>
              <w:rPr>
                <w:sz w:val="1"/>
                <w:szCs w:val="1"/>
                <w:color w:val="auto"/>
              </w:rPr>
            </w:pPr>
          </w:p>
        </w:tc>
      </w:tr>
      <w:tr>
        <w:trPr>
          <w:trHeight w:val="215"/>
        </w:trPr>
        <w:tc>
          <w:tcPr>
            <w:tcW w:w="4520" w:type="dxa"/>
            <w:vAlign w:val="bottom"/>
          </w:tcPr>
          <w:p>
            <w:pPr>
              <w:ind w:left="20"/>
              <w:spacing w:after="0"/>
              <w:rPr>
                <w:sz w:val="20"/>
                <w:szCs w:val="20"/>
                <w:color w:val="auto"/>
              </w:rPr>
            </w:pPr>
            <w:r>
              <w:rPr>
                <w:rFonts w:ascii="Arial" w:cs="Arial" w:eastAsia="Arial" w:hAnsi="Arial"/>
                <w:sz w:val="16"/>
                <w:szCs w:val="16"/>
                <w:color w:val="auto"/>
              </w:rPr>
              <w:t>Change in fair value of interest rate swap contracts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guarantee income</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(5,548)</w:t>
            </w:r>
          </w:p>
        </w:tc>
        <w:tc>
          <w:tcPr>
            <w:tcW w:w="0" w:type="dxa"/>
            <w:vAlign w:val="bottom"/>
          </w:tcPr>
          <w:p>
            <w:pPr>
              <w:spacing w:after="0"/>
              <w:rPr>
                <w:sz w:val="1"/>
                <w:szCs w:val="1"/>
                <w:color w:val="auto"/>
              </w:rPr>
            </w:pPr>
          </w:p>
        </w:tc>
      </w:tr>
      <w:tr>
        <w:trPr>
          <w:trHeight w:val="209"/>
        </w:trPr>
        <w:tc>
          <w:tcPr>
            <w:tcW w:w="4520" w:type="dxa"/>
            <w:vAlign w:val="bottom"/>
          </w:tcPr>
          <w:p>
            <w:pPr>
              <w:ind w:left="240"/>
              <w:spacing w:after="0"/>
              <w:rPr>
                <w:sz w:val="20"/>
                <w:szCs w:val="20"/>
                <w:color w:val="auto"/>
              </w:rPr>
            </w:pPr>
            <w:r>
              <w:rPr>
                <w:rFonts w:ascii="Arial" w:cs="Arial" w:eastAsia="Arial" w:hAnsi="Arial"/>
                <w:sz w:val="16"/>
                <w:szCs w:val="16"/>
                <w:b w:val="1"/>
                <w:bCs w:val="1"/>
                <w:color w:val="auto"/>
              </w:rPr>
              <w:t>LOSS BEFORE INCOME TAXES</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(1,634)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(5,091)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(3,065)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(3,997)</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NET LOSS AND COMPREHENSIVE LOSS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(4,161)</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142"/>
        </w:trPr>
        <w:tc>
          <w:tcPr>
            <w:tcW w:w="4520" w:type="dxa"/>
            <w:vAlign w:val="bottom"/>
          </w:tcPr>
          <w:p>
            <w:pPr>
              <w:ind w:left="240"/>
              <w:spacing w:after="0" w:line="142" w:lineRule="exact"/>
              <w:rPr>
                <w:sz w:val="20"/>
                <w:szCs w:val="20"/>
                <w:color w:val="auto"/>
              </w:rPr>
            </w:pPr>
            <w:r>
              <w:rPr>
                <w:rFonts w:ascii="Arial" w:cs="Arial" w:eastAsia="Arial" w:hAnsi="Arial"/>
                <w:sz w:val="16"/>
                <w:szCs w:val="16"/>
                <w:b w:val="1"/>
                <w:bCs w:val="1"/>
                <w:color w:val="auto"/>
              </w:rPr>
              <w:t>NET LOSS AND COMPREHENSIVE LOSS</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(1,116)</w:t>
            </w:r>
          </w:p>
        </w:tc>
        <w:tc>
          <w:tcPr>
            <w:tcW w:w="100" w:type="dxa"/>
            <w:vAlign w:val="bottom"/>
          </w:tcPr>
          <w:p>
            <w:pPr>
              <w:spacing w:after="0"/>
              <w:rPr>
                <w:sz w:val="12"/>
                <w:szCs w:val="12"/>
                <w:color w:val="auto"/>
              </w:rPr>
            </w:pP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(3,940)</w:t>
            </w:r>
          </w:p>
        </w:tc>
        <w:tc>
          <w:tcPr>
            <w:tcW w:w="10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(1,545)</w:t>
            </w:r>
          </w:p>
        </w:tc>
        <w:tc>
          <w:tcPr>
            <w:tcW w:w="100" w:type="dxa"/>
            <w:vAlign w:val="bottom"/>
          </w:tcPr>
          <w:p>
            <w:pPr>
              <w:spacing w:after="0"/>
              <w:rPr>
                <w:sz w:val="12"/>
                <w:szCs w:val="12"/>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(4,617)</w:t>
            </w:r>
          </w:p>
        </w:tc>
        <w:tc>
          <w:tcPr>
            <w:tcW w:w="0" w:type="dxa"/>
            <w:vAlign w:val="bottom"/>
          </w:tcPr>
          <w:p>
            <w:pPr>
              <w:spacing w:after="0"/>
              <w:rPr>
                <w:sz w:val="1"/>
                <w:szCs w:val="1"/>
                <w:color w:val="auto"/>
              </w:rPr>
            </w:pPr>
          </w:p>
        </w:tc>
      </w:tr>
      <w:tr>
        <w:trPr>
          <w:trHeight w:val="194"/>
        </w:trPr>
        <w:tc>
          <w:tcPr>
            <w:tcW w:w="4520" w:type="dxa"/>
            <w:vAlign w:val="bottom"/>
          </w:tcPr>
          <w:p>
            <w:pPr>
              <w:ind w:left="240"/>
              <w:spacing w:after="0"/>
              <w:rPr>
                <w:sz w:val="20"/>
                <w:szCs w:val="20"/>
                <w:color w:val="auto"/>
              </w:rPr>
            </w:pPr>
            <w:r>
              <w:rPr>
                <w:rFonts w:ascii="Arial" w:cs="Arial" w:eastAsia="Arial" w:hAnsi="Arial"/>
                <w:sz w:val="16"/>
                <w:szCs w:val="16"/>
                <w:b w:val="1"/>
                <w:bCs w:val="1"/>
                <w:color w:val="auto"/>
              </w:rPr>
              <w:t>ATTRIBUTABLE TO HF FOODS GROUP INC.</w:t>
            </w:r>
          </w:p>
        </w:tc>
        <w:tc>
          <w:tcPr>
            <w:tcW w:w="18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LOSS PER COMMON SHARE - 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(0.09)</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LOSS PER COMMON SHARE -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WEIGHTED AVERAGE SHARES - BASIC</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53,031,801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52,726,683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52,913,907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52,490,321</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 DILUTED</w:t>
            </w: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53,031,801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52,726,683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52,913,907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52,490,321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HF Foods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7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r>
      <w:tr>
        <w:trPr>
          <w:trHeight w:val="22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9"/>
        </w:trPr>
        <w:tc>
          <w:tcPr>
            <w:tcW w:w="7140" w:type="dxa"/>
            <w:vAlign w:val="bottom"/>
          </w:tcPr>
          <w:p>
            <w:pPr>
              <w:ind w:left="240"/>
              <w:spacing w:after="0"/>
              <w:rPr>
                <w:sz w:val="20"/>
                <w:szCs w:val="20"/>
                <w:color w:val="auto"/>
              </w:rPr>
            </w:pPr>
            <w:r>
              <w:rPr>
                <w:rFonts w:ascii="Arial" w:cs="Arial" w:eastAsia="Arial" w:hAnsi="Arial"/>
                <w:sz w:val="16"/>
                <w:szCs w:val="16"/>
                <w:b w:val="1"/>
                <w:bCs w:val="1"/>
                <w:color w:val="auto"/>
              </w:rPr>
              <w:t>Net loss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(1,894)</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(4,161)</w:t>
            </w:r>
          </w:p>
        </w:tc>
      </w:tr>
      <w:tr>
        <w:trPr>
          <w:trHeight w:val="247"/>
        </w:trPr>
        <w:tc>
          <w:tcPr>
            <w:tcW w:w="714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Adjustments to reconcile net loss to net cash provided by operating activities:</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5"/>
        </w:trPr>
        <w:tc>
          <w:tcPr>
            <w:tcW w:w="7140" w:type="dxa"/>
            <w:vAlign w:val="bottom"/>
          </w:tcPr>
          <w:p>
            <w:pPr>
              <w:ind w:left="46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21,269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19,932</w:t>
            </w:r>
          </w:p>
        </w:tc>
      </w:tr>
      <w:tr>
        <w:trPr>
          <w:trHeight w:val="251"/>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(credit) for expected credit losses</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42"/>
        </w:trPr>
        <w:tc>
          <w:tcPr>
            <w:tcW w:w="7140" w:type="dxa"/>
            <w:vAlign w:val="bottom"/>
          </w:tcPr>
          <w:p>
            <w:pPr>
              <w:ind w:left="460"/>
              <w:spacing w:after="0"/>
              <w:rPr>
                <w:sz w:val="20"/>
                <w:szCs w:val="20"/>
                <w:color w:val="auto"/>
              </w:rPr>
            </w:pPr>
            <w:r>
              <w:rPr>
                <w:rFonts w:ascii="Arial" w:cs="Arial" w:eastAsia="Arial" w:hAnsi="Arial"/>
                <w:sz w:val="16"/>
                <w:szCs w:val="16"/>
                <w:color w:val="auto"/>
              </w:rPr>
              <w:t>Deferred tax benefit</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(1,175)</w:t>
            </w:r>
          </w:p>
        </w:tc>
      </w:tr>
      <w:tr>
        <w:trPr>
          <w:trHeight w:val="244"/>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 in fair value of interest rate swap contracts</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r>
      <w:tr>
        <w:trPr>
          <w:trHeight w:val="235"/>
        </w:trPr>
        <w:tc>
          <w:tcPr>
            <w:tcW w:w="7140" w:type="dxa"/>
            <w:vAlign w:val="bottom"/>
          </w:tcPr>
          <w:p>
            <w:pPr>
              <w:ind w:left="46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1,961</w:t>
            </w:r>
          </w:p>
        </w:tc>
      </w:tr>
      <w:tr>
        <w:trPr>
          <w:trHeight w:val="251"/>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Non-cash lease expense</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w:t>
            </w:r>
          </w:p>
        </w:tc>
      </w:tr>
      <w:tr>
        <w:trPr>
          <w:trHeight w:val="235"/>
        </w:trPr>
        <w:tc>
          <w:tcPr>
            <w:tcW w:w="7140" w:type="dxa"/>
            <w:vAlign w:val="bottom"/>
          </w:tcPr>
          <w:p>
            <w:pPr>
              <w:ind w:left="460"/>
              <w:spacing w:after="0"/>
              <w:rPr>
                <w:sz w:val="20"/>
                <w:szCs w:val="20"/>
                <w:color w:val="auto"/>
              </w:rPr>
            </w:pPr>
            <w:r>
              <w:rPr>
                <w:rFonts w:ascii="Arial" w:cs="Arial" w:eastAsia="Arial" w:hAnsi="Arial"/>
                <w:sz w:val="16"/>
                <w:szCs w:val="16"/>
                <w:color w:val="auto"/>
              </w:rPr>
              <w:t>Lease guarantee income</w:t>
            </w:r>
          </w:p>
        </w:tc>
        <w:tc>
          <w:tcPr>
            <w:tcW w:w="30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(5,548)</w:t>
            </w:r>
          </w:p>
        </w:tc>
      </w:tr>
      <w:tr>
        <w:trPr>
          <w:trHeight w:val="251"/>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non-cash (income) expense</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39"/>
        </w:trPr>
        <w:tc>
          <w:tcPr>
            <w:tcW w:w="7140" w:type="dxa"/>
            <w:vAlign w:val="bottom"/>
          </w:tcPr>
          <w:p>
            <w:pPr>
              <w:ind w:left="240"/>
              <w:spacing w:after="0"/>
              <w:rPr>
                <w:sz w:val="20"/>
                <w:szCs w:val="20"/>
                <w:color w:val="auto"/>
              </w:rPr>
            </w:pPr>
            <w:r>
              <w:rPr>
                <w:rFonts w:ascii="Arial" w:cs="Arial" w:eastAsia="Arial" w:hAnsi="Arial"/>
                <w:sz w:val="16"/>
                <w:szCs w:val="16"/>
                <w:b w:val="1"/>
                <w:bCs w:val="1"/>
                <w:color w:val="auto"/>
              </w:rPr>
              <w:t>Changes in operating assets and liabilities: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7"/>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(4,105)</w:t>
            </w:r>
          </w:p>
        </w:tc>
      </w:tr>
      <w:tr>
        <w:trPr>
          <w:trHeight w:val="235"/>
        </w:trPr>
        <w:tc>
          <w:tcPr>
            <w:tcW w:w="7140" w:type="dxa"/>
            <w:vAlign w:val="bottom"/>
          </w:tcPr>
          <w:p>
            <w:pPr>
              <w:ind w:left="460"/>
              <w:spacing w:after="0"/>
              <w:rPr>
                <w:sz w:val="20"/>
                <w:szCs w:val="20"/>
                <w:color w:val="auto"/>
              </w:rPr>
            </w:pPr>
            <w:r>
              <w:rPr>
                <w:rFonts w:ascii="Arial" w:cs="Arial" w:eastAsia="Arial" w:hAnsi="Arial"/>
                <w:sz w:val="16"/>
                <w:szCs w:val="16"/>
                <w:color w:val="auto"/>
              </w:rPr>
              <w:t>Accounts receivable - related parties</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51"/>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(37,713)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(13,890)</w:t>
            </w:r>
          </w:p>
        </w:tc>
      </w:tr>
      <w:tr>
        <w:trPr>
          <w:trHeight w:val="235"/>
        </w:trPr>
        <w:tc>
          <w:tcPr>
            <w:tcW w:w="714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51"/>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long-term assets</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r>
      <w:tr>
        <w:trPr>
          <w:trHeight w:val="235"/>
        </w:trPr>
        <w:tc>
          <w:tcPr>
            <w:tcW w:w="7140" w:type="dxa"/>
            <w:vAlign w:val="bottom"/>
          </w:tcPr>
          <w:p>
            <w:pPr>
              <w:ind w:left="460"/>
              <w:spacing w:after="0"/>
              <w:rPr>
                <w:sz w:val="20"/>
                <w:szCs w:val="20"/>
                <w:color w:val="auto"/>
              </w:rPr>
            </w:pPr>
            <w:r>
              <w:rPr>
                <w:rFonts w:ascii="Arial" w:cs="Arial" w:eastAsia="Arial" w:hAnsi="Arial"/>
                <w:sz w:val="16"/>
                <w:szCs w:val="16"/>
                <w:color w:val="auto"/>
              </w:rPr>
              <w:t>Checks issued not presented for payment</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(3,561)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7,524</w:t>
            </w:r>
          </w:p>
        </w:tc>
      </w:tr>
      <w:tr>
        <w:trPr>
          <w:trHeight w:val="251"/>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r>
      <w:tr>
        <w:trPr>
          <w:trHeight w:val="235"/>
        </w:trPr>
        <w:tc>
          <w:tcPr>
            <w:tcW w:w="7140" w:type="dxa"/>
            <w:vAlign w:val="bottom"/>
          </w:tcPr>
          <w:p>
            <w:pPr>
              <w:ind w:left="460"/>
              <w:spacing w:after="0"/>
              <w:rPr>
                <w:sz w:val="20"/>
                <w:szCs w:val="20"/>
                <w:color w:val="auto"/>
              </w:rPr>
            </w:pPr>
            <w:r>
              <w:rPr>
                <w:rFonts w:ascii="Arial" w:cs="Arial" w:eastAsia="Arial" w:hAnsi="Arial"/>
                <w:sz w:val="16"/>
                <w:szCs w:val="16"/>
                <w:color w:val="auto"/>
              </w:rPr>
              <w:t>Accounts payable - related parties</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51"/>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r>
      <w:tr>
        <w:trPr>
          <w:trHeight w:val="236"/>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w:t>
            </w:r>
          </w:p>
        </w:tc>
      </w:tr>
      <w:tr>
        <w:trPr>
          <w:trHeight w:val="243"/>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4,483</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4,225</w:t>
            </w:r>
          </w:p>
        </w:tc>
      </w:tr>
      <w:tr>
        <w:trPr>
          <w:trHeight w:val="219"/>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7"/>
        </w:trPr>
        <w:tc>
          <w:tcPr>
            <w:tcW w:w="7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(9,435)</w:t>
            </w:r>
          </w:p>
        </w:tc>
      </w:tr>
      <w:tr>
        <w:trPr>
          <w:trHeight w:val="236"/>
        </w:trPr>
        <w:tc>
          <w:tcPr>
            <w:tcW w:w="7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Proceeds from sale of property and equipment</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(9,862)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(9,423)</w:t>
            </w:r>
          </w:p>
        </w:tc>
      </w:tr>
      <w:tr>
        <w:trPr>
          <w:trHeight w:val="219"/>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7"/>
        </w:trPr>
        <w:tc>
          <w:tcPr>
            <w:tcW w:w="7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for tax withholding related to vested stock awards</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35"/>
        </w:trPr>
        <w:tc>
          <w:tcPr>
            <w:tcW w:w="7140" w:type="dxa"/>
            <w:vAlign w:val="bottom"/>
          </w:tcPr>
          <w:p>
            <w:pPr>
              <w:ind w:left="240"/>
              <w:spacing w:after="0"/>
              <w:rPr>
                <w:sz w:val="20"/>
                <w:szCs w:val="20"/>
                <w:color w:val="auto"/>
              </w:rPr>
            </w:pPr>
            <w:r>
              <w:rPr>
                <w:rFonts w:ascii="Arial" w:cs="Arial" w:eastAsia="Arial" w:hAnsi="Arial"/>
                <w:sz w:val="16"/>
                <w:szCs w:val="16"/>
                <w:color w:val="auto"/>
              </w:rPr>
              <w:t>Proceeds from line of credit</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1,033,577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1,120,318</w:t>
            </w:r>
          </w:p>
        </w:tc>
      </w:tr>
      <w:tr>
        <w:trPr>
          <w:trHeight w:val="251"/>
        </w:trPr>
        <w:tc>
          <w:tcPr>
            <w:tcW w:w="7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line of credit</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(1,023,791)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(1,112,012)</w:t>
            </w:r>
          </w:p>
        </w:tc>
      </w:tr>
      <w:tr>
        <w:trPr>
          <w:trHeight w:val="235"/>
        </w:trPr>
        <w:tc>
          <w:tcPr>
            <w:tcW w:w="7140" w:type="dxa"/>
            <w:vAlign w:val="bottom"/>
          </w:tcPr>
          <w:p>
            <w:pPr>
              <w:ind w:left="240"/>
              <w:spacing w:after="0"/>
              <w:rPr>
                <w:sz w:val="20"/>
                <w:szCs w:val="20"/>
                <w:color w:val="auto"/>
              </w:rPr>
            </w:pPr>
            <w:r>
              <w:rPr>
                <w:rFonts w:ascii="Arial" w:cs="Arial" w:eastAsia="Arial" w:hAnsi="Arial"/>
                <w:sz w:val="16"/>
                <w:szCs w:val="16"/>
                <w:color w:val="auto"/>
              </w:rPr>
              <w:t>Proceeds from issuance of debt</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3,275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long-term debt</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w:t>
            </w:r>
          </w:p>
        </w:tc>
      </w:tr>
      <w:tr>
        <w:trPr>
          <w:trHeight w:val="235"/>
        </w:trPr>
        <w:tc>
          <w:tcPr>
            <w:tcW w:w="7140" w:type="dxa"/>
            <w:vAlign w:val="bottom"/>
          </w:tcPr>
          <w:p>
            <w:pPr>
              <w:ind w:left="240"/>
              <w:spacing w:after="0"/>
              <w:rPr>
                <w:sz w:val="20"/>
                <w:szCs w:val="20"/>
                <w:color w:val="auto"/>
              </w:rPr>
            </w:pPr>
            <w:r>
              <w:rPr>
                <w:rFonts w:ascii="Arial" w:cs="Arial" w:eastAsia="Arial" w:hAnsi="Arial"/>
                <w:sz w:val="16"/>
                <w:szCs w:val="16"/>
                <w:color w:val="auto"/>
              </w:rPr>
              <w:t>Payment of debt financing costs</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obligations under finance leases</w:t>
            </w:r>
          </w:p>
        </w:tc>
        <w:tc>
          <w:tcPr>
            <w:tcW w:w="3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(2,597)</w:t>
            </w:r>
          </w:p>
        </w:tc>
      </w:tr>
      <w:tr>
        <w:trPr>
          <w:trHeight w:val="233"/>
        </w:trPr>
        <w:tc>
          <w:tcPr>
            <w:tcW w:w="7140" w:type="dxa"/>
            <w:vAlign w:val="bottom"/>
            <w:tcBorders>
              <w:bottom w:val="single" w:sz="8" w:color="CCEEFF"/>
            </w:tcBorders>
          </w:tcPr>
          <w:p>
            <w:pPr>
              <w:ind w:left="680"/>
              <w:spacing w:after="0"/>
              <w:rPr>
                <w:sz w:val="20"/>
                <w:szCs w:val="20"/>
                <w:color w:val="auto"/>
              </w:rPr>
            </w:pPr>
            <w:r>
              <w:rPr>
                <w:rFonts w:ascii="Arial" w:cs="Arial" w:eastAsia="Arial" w:hAnsi="Arial"/>
                <w:sz w:val="16"/>
                <w:szCs w:val="16"/>
                <w:b w:val="1"/>
                <w:bCs w:val="1"/>
                <w:color w:val="auto"/>
              </w:rPr>
              <w:t>Net cash provided by financing activities</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1,411</w:t>
            </w:r>
          </w:p>
        </w:tc>
      </w:tr>
      <w:tr>
        <w:trPr>
          <w:trHeight w:val="24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w:t>
            </w: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(3,787)</w:t>
            </w:r>
          </w:p>
        </w:tc>
      </w:tr>
      <w:tr>
        <w:trPr>
          <w:trHeight w:val="23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at beginning of the period</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14,467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15,232</w:t>
            </w:r>
          </w:p>
        </w:tc>
      </w:tr>
      <w:tr>
        <w:trPr>
          <w:trHeight w:val="23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at end of the period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12,328</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11,445</w:t>
            </w:r>
          </w:p>
        </w:tc>
      </w:tr>
      <w:tr>
        <w:trPr>
          <w:trHeight w:val="254"/>
        </w:trPr>
        <w:tc>
          <w:tcPr>
            <w:tcW w:w="7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4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5"/>
        </w:trPr>
        <w:tc>
          <w:tcPr>
            <w:tcW w:w="714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16,602</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5,222</w:t>
            </w:r>
          </w:p>
        </w:tc>
      </w:tr>
      <w:tr>
        <w:trPr>
          <w:trHeight w:val="251"/>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acquired in exchange for finance leases</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10,646</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Dissolution of noncontrolling interests</w:t>
            </w:r>
          </w:p>
        </w:tc>
        <w:tc>
          <w:tcPr>
            <w:tcW w:w="3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772</w:t>
            </w:r>
          </w:p>
        </w:tc>
      </w:tr>
    </w:tbl>
    <w:p>
      <w:pPr>
        <w:spacing w:after="0" w:line="200" w:lineRule="exact"/>
        <w:rPr>
          <w:sz w:val="20"/>
          <w:szCs w:val="20"/>
          <w:color w:val="auto"/>
        </w:rPr>
      </w:pPr>
    </w:p>
    <w:p>
      <w:pPr>
        <w:sectPr>
          <w:pgSz w:w="11900" w:h="16838" w:orient="portrait"/>
          <w:cols w:equalWidth="0" w:num="1">
            <w:col w:w="10800"/>
          </w:cols>
          <w:pgMar w:left="540" w:top="34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341" w:right="55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HF Foods Group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Shareholders’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4"/>
          </w:tcPr>
          <w:p>
            <w:pPr>
              <w:ind w:left="28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40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5"/>
                <w:szCs w:val="5"/>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5"/>
                <w:szCs w:val="5"/>
                <w:color w:val="auto"/>
              </w:rPr>
            </w:pPr>
          </w:p>
        </w:tc>
        <w:tc>
          <w:tcPr>
            <w:tcW w:w="920" w:type="dxa"/>
            <w:vAlign w:val="bottom"/>
            <w:vMerge w:val="restart"/>
          </w:tcPr>
          <w:p>
            <w:pPr>
              <w:jc w:val="center"/>
              <w:ind w:right="14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2"/>
        </w:trPr>
        <w:tc>
          <w:tcPr>
            <w:tcW w:w="2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Paid-in</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HF Foods</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controlling</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19"/>
        </w:trPr>
        <w:tc>
          <w:tcPr>
            <w:tcW w:w="240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Group Inc.</w:t>
            </w:r>
          </w:p>
        </w:tc>
        <w:tc>
          <w:tcPr>
            <w:tcW w:w="12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9"/>
                <w:szCs w:val="19"/>
                <w:color w:val="auto"/>
              </w:rPr>
            </w:pPr>
          </w:p>
        </w:tc>
        <w:tc>
          <w:tcPr>
            <w:tcW w:w="920" w:type="dxa"/>
            <w:vAlign w:val="bottom"/>
          </w:tcPr>
          <w:p>
            <w:pPr>
              <w:jc w:val="center"/>
              <w:ind w:right="12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January 1, 2024</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54,153,391</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1,997,423</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(7,750)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603,094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(308,688)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286,661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1,322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287,983</w:t>
            </w:r>
          </w:p>
        </w:tc>
        <w:tc>
          <w:tcPr>
            <w:tcW w:w="0" w:type="dxa"/>
            <w:vAlign w:val="bottom"/>
          </w:tcPr>
          <w:p>
            <w:pPr>
              <w:spacing w:after="0"/>
              <w:rPr>
                <w:sz w:val="1"/>
                <w:szCs w:val="1"/>
                <w:color w:val="auto"/>
              </w:rPr>
            </w:pPr>
          </w:p>
        </w:tc>
      </w:tr>
      <w:tr>
        <w:trPr>
          <w:trHeight w:val="208"/>
        </w:trPr>
        <w:tc>
          <w:tcPr>
            <w:tcW w:w="240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2"/>
        </w:trPr>
        <w:tc>
          <w:tcPr>
            <w:tcW w:w="2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4"/>
                <w:szCs w:val="14"/>
                <w:b w:val="1"/>
                <w:bCs w:val="1"/>
                <w:color w:val="auto"/>
              </w:rPr>
              <w:t>Balance at March 31, 2024</w:t>
            </w: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54,153,391</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1,997,423</w:t>
            </w:r>
          </w:p>
        </w:tc>
        <w:tc>
          <w:tcPr>
            <w:tcW w:w="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(7,750)</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603,832</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(309,382)</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286,705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1,457</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288,162</w:t>
            </w:r>
          </w:p>
        </w:tc>
        <w:tc>
          <w:tcPr>
            <w:tcW w:w="0" w:type="dxa"/>
            <w:vAlign w:val="bottom"/>
          </w:tcPr>
          <w:p>
            <w:pPr>
              <w:spacing w:after="0"/>
              <w:rPr>
                <w:sz w:val="1"/>
                <w:szCs w:val="1"/>
                <w:color w:val="auto"/>
              </w:rPr>
            </w:pPr>
          </w:p>
        </w:tc>
      </w:tr>
      <w:tr>
        <w:trPr>
          <w:trHeight w:val="217"/>
        </w:trPr>
        <w:tc>
          <w:tcPr>
            <w:tcW w:w="2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0"/>
        </w:trPr>
        <w:tc>
          <w:tcPr>
            <w:tcW w:w="2400" w:type="dxa"/>
            <w:vAlign w:val="bottom"/>
          </w:tcPr>
          <w:p>
            <w:pPr>
              <w:ind w:left="220"/>
              <w:spacing w:after="0"/>
              <w:rPr>
                <w:sz w:val="20"/>
                <w:szCs w:val="20"/>
                <w:color w:val="auto"/>
              </w:rPr>
            </w:pPr>
            <w:r>
              <w:rPr>
                <w:rFonts w:ascii="Arial" w:cs="Arial" w:eastAsia="Arial" w:hAnsi="Arial"/>
                <w:sz w:val="14"/>
                <w:szCs w:val="14"/>
                <w:color w:val="auto"/>
              </w:rPr>
              <w:t>Issuance of common stock</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220"/>
              <w:spacing w:after="0"/>
              <w:rPr>
                <w:sz w:val="20"/>
                <w:szCs w:val="20"/>
                <w:color w:val="auto"/>
              </w:rPr>
            </w:pPr>
            <w:r>
              <w:rPr>
                <w:rFonts w:ascii="Arial" w:cs="Arial" w:eastAsia="Arial" w:hAnsi="Arial"/>
                <w:sz w:val="14"/>
                <w:szCs w:val="14"/>
                <w:color w:val="auto"/>
              </w:rPr>
              <w:t>pursuant to equity compensation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220"/>
              <w:spacing w:after="0"/>
              <w:rPr>
                <w:sz w:val="20"/>
                <w:szCs w:val="20"/>
                <w:color w:val="auto"/>
              </w:rPr>
            </w:pPr>
            <w:r>
              <w:rPr>
                <w:rFonts w:ascii="Arial" w:cs="Arial" w:eastAsia="Arial" w:hAnsi="Arial"/>
                <w:sz w:val="14"/>
                <w:szCs w:val="14"/>
                <w:color w:val="auto"/>
              </w:rPr>
              <w:t>plan</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555,181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Shares withheld for tax</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withholdings on vested awards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(40,403)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0"/>
        </w:trPr>
        <w:tc>
          <w:tcPr>
            <w:tcW w:w="2400" w:type="dxa"/>
            <w:vAlign w:val="bottom"/>
          </w:tcPr>
          <w:p>
            <w:pPr>
              <w:ind w:left="220"/>
              <w:spacing w:after="0"/>
              <w:rPr>
                <w:sz w:val="20"/>
                <w:szCs w:val="20"/>
                <w:color w:val="auto"/>
              </w:rPr>
            </w:pPr>
            <w:r>
              <w:rPr>
                <w:rFonts w:ascii="Arial" w:cs="Arial" w:eastAsia="Arial" w:hAnsi="Arial"/>
                <w:sz w:val="14"/>
                <w:szCs w:val="14"/>
                <w:color w:val="auto"/>
              </w:rPr>
              <w:t>Dissolution of noncontrolling</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00" w:type="dxa"/>
            <w:vAlign w:val="bottom"/>
          </w:tcPr>
          <w:p>
            <w:pPr>
              <w:ind w:left="220"/>
              <w:spacing w:after="0"/>
              <w:rPr>
                <w:sz w:val="20"/>
                <w:szCs w:val="20"/>
                <w:color w:val="auto"/>
              </w:rPr>
            </w:pPr>
            <w:r>
              <w:rPr>
                <w:rFonts w:ascii="Arial" w:cs="Arial" w:eastAsia="Arial" w:hAnsi="Arial"/>
                <w:sz w:val="14"/>
                <w:szCs w:val="14"/>
                <w:color w:val="auto"/>
              </w:rPr>
              <w:t>interests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4"/>
                <w:szCs w:val="14"/>
                <w:b w:val="1"/>
                <w:bCs w:val="1"/>
                <w:color w:val="auto"/>
              </w:rPr>
              <w:t>Balance at June 30, 2024</w:t>
            </w: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54,668,169</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1,997,423</w:t>
            </w:r>
          </w:p>
        </w:tc>
        <w:tc>
          <w:tcPr>
            <w:tcW w:w="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(7,750)</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603,454</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(309,365)</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286,344</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2,447</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288,791</w:t>
            </w:r>
          </w:p>
        </w:tc>
        <w:tc>
          <w:tcPr>
            <w:tcW w:w="0" w:type="dxa"/>
            <w:vAlign w:val="bottom"/>
          </w:tcPr>
          <w:p>
            <w:pPr>
              <w:spacing w:after="0"/>
              <w:rPr>
                <w:sz w:val="1"/>
                <w:szCs w:val="1"/>
                <w:color w:val="auto"/>
              </w:rPr>
            </w:pPr>
          </w:p>
        </w:tc>
      </w:tr>
      <w:tr>
        <w:trPr>
          <w:trHeight w:val="217"/>
        </w:trPr>
        <w:tc>
          <w:tcPr>
            <w:tcW w:w="2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0" w:type="dxa"/>
            <w:vAlign w:val="bottom"/>
          </w:tcPr>
          <w:p>
            <w:pPr>
              <w:spacing w:after="0"/>
              <w:rPr>
                <w:sz w:val="1"/>
                <w:szCs w:val="1"/>
                <w:color w:val="auto"/>
              </w:rPr>
            </w:pPr>
          </w:p>
        </w:tc>
      </w:tr>
      <w:tr>
        <w:trPr>
          <w:trHeight w:val="180"/>
        </w:trPr>
        <w:tc>
          <w:tcPr>
            <w:tcW w:w="2400" w:type="dxa"/>
            <w:vAlign w:val="bottom"/>
          </w:tcPr>
          <w:p>
            <w:pPr>
              <w:ind w:left="220"/>
              <w:spacing w:after="0"/>
              <w:rPr>
                <w:sz w:val="20"/>
                <w:szCs w:val="20"/>
                <w:color w:val="auto"/>
              </w:rPr>
            </w:pPr>
            <w:r>
              <w:rPr>
                <w:rFonts w:ascii="Arial" w:cs="Arial" w:eastAsia="Arial" w:hAnsi="Arial"/>
                <w:sz w:val="14"/>
                <w:szCs w:val="14"/>
                <w:color w:val="auto"/>
              </w:rPr>
              <w:t>Issuance of common stock</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220"/>
              <w:spacing w:after="0"/>
              <w:rPr>
                <w:sz w:val="20"/>
                <w:szCs w:val="20"/>
                <w:color w:val="auto"/>
              </w:rPr>
            </w:pPr>
            <w:r>
              <w:rPr>
                <w:rFonts w:ascii="Arial" w:cs="Arial" w:eastAsia="Arial" w:hAnsi="Arial"/>
                <w:sz w:val="14"/>
                <w:szCs w:val="14"/>
                <w:color w:val="auto"/>
              </w:rPr>
              <w:t>pursuant to equity compensation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220"/>
              <w:spacing w:after="0"/>
              <w:rPr>
                <w:sz w:val="20"/>
                <w:szCs w:val="20"/>
                <w:color w:val="auto"/>
              </w:rPr>
            </w:pPr>
            <w:r>
              <w:rPr>
                <w:rFonts w:ascii="Arial" w:cs="Arial" w:eastAsia="Arial" w:hAnsi="Arial"/>
                <w:sz w:val="14"/>
                <w:szCs w:val="14"/>
                <w:color w:val="auto"/>
              </w:rPr>
              <w:t>plan</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82,713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Shares withheld for tax</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withholdings on vested awards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(16,297)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8"/>
        </w:trPr>
        <w:tc>
          <w:tcPr>
            <w:tcW w:w="240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22"/>
        </w:trPr>
        <w:tc>
          <w:tcPr>
            <w:tcW w:w="2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2024</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54,734,585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1,997,423</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(7,750)</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604,110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(313,305)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283,060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2,550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285,610</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January 1, 2025</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54,735,073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1,997,423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(7,750)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604,235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(357,199)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239,291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241,294</w:t>
            </w:r>
          </w:p>
        </w:tc>
        <w:tc>
          <w:tcPr>
            <w:tcW w:w="0" w:type="dxa"/>
            <w:vAlign w:val="bottom"/>
          </w:tcPr>
          <w:p>
            <w:pPr>
              <w:spacing w:after="0"/>
              <w:rPr>
                <w:sz w:val="1"/>
                <w:szCs w:val="1"/>
                <w:color w:val="auto"/>
              </w:rPr>
            </w:pPr>
          </w:p>
        </w:tc>
      </w:tr>
      <w:tr>
        <w:trPr>
          <w:trHeight w:val="228"/>
        </w:trPr>
        <w:tc>
          <w:tcPr>
            <w:tcW w:w="240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4"/>
                <w:szCs w:val="14"/>
                <w:b w:val="1"/>
                <w:bCs w:val="1"/>
                <w:color w:val="auto"/>
              </w:rPr>
              <w:t>Balance at March 31, 2025</w:t>
            </w: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54,735,073</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1,997,423</w:t>
            </w:r>
          </w:p>
        </w:tc>
        <w:tc>
          <w:tcPr>
            <w:tcW w:w="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(7,750)</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604,609</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(358,844)</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238,020</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2,118</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240,138</w:t>
            </w:r>
          </w:p>
        </w:tc>
        <w:tc>
          <w:tcPr>
            <w:tcW w:w="0" w:type="dxa"/>
            <w:vAlign w:val="bottom"/>
          </w:tcPr>
          <w:p>
            <w:pPr>
              <w:spacing w:after="0"/>
              <w:rPr>
                <w:sz w:val="1"/>
                <w:szCs w:val="1"/>
                <w:color w:val="auto"/>
              </w:rPr>
            </w:pPr>
          </w:p>
        </w:tc>
      </w:tr>
      <w:tr>
        <w:trPr>
          <w:trHeight w:val="237"/>
        </w:trPr>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80"/>
        </w:trPr>
        <w:tc>
          <w:tcPr>
            <w:tcW w:w="2400" w:type="dxa"/>
            <w:vAlign w:val="bottom"/>
          </w:tcPr>
          <w:p>
            <w:pPr>
              <w:ind w:left="220"/>
              <w:spacing w:after="0"/>
              <w:rPr>
                <w:sz w:val="20"/>
                <w:szCs w:val="20"/>
                <w:color w:val="auto"/>
              </w:rPr>
            </w:pPr>
            <w:r>
              <w:rPr>
                <w:rFonts w:ascii="Arial" w:cs="Arial" w:eastAsia="Arial" w:hAnsi="Arial"/>
                <w:sz w:val="14"/>
                <w:szCs w:val="14"/>
                <w:color w:val="auto"/>
              </w:rPr>
              <w:t>Issuance of common stock</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220"/>
              <w:spacing w:after="0"/>
              <w:rPr>
                <w:sz w:val="20"/>
                <w:szCs w:val="20"/>
                <w:color w:val="auto"/>
              </w:rPr>
            </w:pPr>
            <w:r>
              <w:rPr>
                <w:rFonts w:ascii="Arial" w:cs="Arial" w:eastAsia="Arial" w:hAnsi="Arial"/>
                <w:sz w:val="14"/>
                <w:szCs w:val="14"/>
                <w:color w:val="auto"/>
              </w:rPr>
              <w:t>pursuant to equity compensation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400" w:type="dxa"/>
            <w:vAlign w:val="bottom"/>
          </w:tcPr>
          <w:p>
            <w:pPr>
              <w:ind w:left="220"/>
              <w:spacing w:after="0"/>
              <w:rPr>
                <w:sz w:val="20"/>
                <w:szCs w:val="20"/>
                <w:color w:val="auto"/>
              </w:rPr>
            </w:pPr>
            <w:r>
              <w:rPr>
                <w:rFonts w:ascii="Arial" w:cs="Arial" w:eastAsia="Arial" w:hAnsi="Arial"/>
                <w:sz w:val="14"/>
                <w:szCs w:val="14"/>
                <w:color w:val="auto"/>
              </w:rPr>
              <w:t>plan</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316,251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Shares withheld for tax</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withholdings on vested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25"/>
        </w:trPr>
        <w:tc>
          <w:tcPr>
            <w:tcW w:w="240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227"/>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June 30, 2025</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55,012,128</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1,997,423</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(7,750)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605,078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(357,628)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239,705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1,412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241,117</w:t>
            </w:r>
          </w:p>
        </w:tc>
        <w:tc>
          <w:tcPr>
            <w:tcW w:w="0" w:type="dxa"/>
            <w:vAlign w:val="bottom"/>
          </w:tcPr>
          <w:p>
            <w:pPr>
              <w:spacing w:after="0"/>
              <w:rPr>
                <w:sz w:val="1"/>
                <w:szCs w:val="1"/>
                <w:color w:val="auto"/>
              </w:rPr>
            </w:pPr>
          </w:p>
        </w:tc>
      </w:tr>
      <w:tr>
        <w:trPr>
          <w:trHeight w:val="225"/>
        </w:trPr>
        <w:tc>
          <w:tcPr>
            <w:tcW w:w="240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pursuant to equity compensation</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plan</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240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25"/>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2025</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55,041,255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1,997,423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(7,750)</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605,697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(358,744)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239,208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240,862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41"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HF Foods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Organization and Description of Business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Organization and General</w:t>
      </w: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HF Foods Group Inc., headquartered in Las Vegas, Nevada, operating through our subsidiaries (collectively “HF Foods” or the “Company”) is a marketer and distributor of fresh produce, frozen and dry food, and non-food products to Asian restaurants, as well as other foodservice customers, throughout the United States. With multiple distribution centers located throughout the nation, HF Foods supplies Asian cuisine through its relationships with growers and suppliers of food products in North America, South America and Asia. The Company’s business consists of one operating segment, which is also its one reportable segment: HF Foods, which operates solely in the United States, offers specialty restaurant foods and supplies to its customers.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of America (“GAAP”) and applicable rules and regulations of the U.S. Securities and Exchange Commission (“SEC”) regarding interim financial reporting. All adjustments (consisting of normal recurring accruals) considered necessary for a fair presentation have been included.</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condensed consolidated financial statements and related financial information should be read in conjunction with the audited consolidated financial statements and the related notes thereto that are included in our Annual Report on Form 10-K for the year ended December 31, 2024 filed with the SEC on March 17, 2025 (our “2024 Annual Report”). There have been no material changes to our significant accounting policies as compared to the significant accounting policies described in our 2024 Annual Report.</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significant intercompany balances and transactions have been eliminated in consolidation. For consolidated entities where we own or are exposed to less than 100% of the economics, the Company records net income (loss) attributable to noncontrolling interests in its condensed consolidated statements of operations and comprehensive income (loss) equal to the percentage of the economic or ownership interest retained in such entity by the respective noncontrolling party.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Reclassifications</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2024, the Company reclassified the presentation of checks issued not presented for payment from cash flows from financing activities to cash flows from operating activities in the condensed consolidated statement of cash flows. Prior periods amounts were reclassified to conform to the current period presentation. The reclassification did not impact condensed consolidated balance sheets or condensed consolidated statements of operations and comprehensive loss.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Variable Interest Entities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GAAP provides guidance on the identification of a variable interest entity (“VIE”) and financial reporting for an entity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September 30, 2025, the Company had no VIEs.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Noncontrolling Interests</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GAAP requires that noncontrolling interests in subsidiaries and affiliates be reported in the equity section of the Company’s condensed consolidated balance sheets. In addition, the amounts attributable to the net income (loss) of those noncontrolling interests are reported separately in the condensed consolidated statements of operations and comprehensive income (loss).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As of September 30, 2025 and December 31, 2024, noncontrolling interest equity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Ownership of</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89"/>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noncontrolling interest at</w:t>
            </w: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2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100" w:type="dxa"/>
            <w:vAlign w:val="bottom"/>
            <w:tcBorders>
              <w:bottom w:val="single" w:sz="8" w:color="CCEEFF"/>
            </w:tcBorders>
          </w:tcPr>
          <w:p>
            <w:pPr>
              <w:spacing w:after="0"/>
              <w:rPr>
                <w:sz w:val="19"/>
                <w:szCs w:val="19"/>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September 30, 2025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September 30, 2025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December 31, 2024</w:t>
            </w:r>
          </w:p>
        </w:tc>
      </w:tr>
      <w:tr>
        <w:trPr>
          <w:trHeight w:val="24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Min Food, Inc.</w:t>
            </w:r>
          </w:p>
        </w:tc>
        <w:tc>
          <w:tcPr>
            <w:tcW w:w="2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39.75%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r>
      <w:tr>
        <w:trPr>
          <w:trHeight w:val="236"/>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Monterey Food Service, LLC</w:t>
            </w:r>
          </w:p>
        </w:tc>
        <w:tc>
          <w:tcPr>
            <w:tcW w:w="26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35.00%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26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Uses of Estimates</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each reporting period. Actual results could differ from those estimates. Significant accounting estimates reflected in the Company’s condensed consolidated financial statements include, but are not limited to, inventory reserves, impairment of long-lived assets, and impairment of goodwill.</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 not yet Adopted</w:t>
      </w: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December 2023, the FASB issued Accounting Standards Update (“ASU”) 2023-09, Income Taxes (Topic 740): Improvements to Income Tax Disclosures, which requires public entities to disclose specific categories in its annual effective tax rate reconciliation and disaggregated information about significant reconciling items by jurisdiction and by nature. This guidance also requires entities to disclose their income tax payments (net of refunds) to international, federal, and state and local jurisdictions. This guidance is effective for fiscal years beginning after December 15, 2024. Upon adoption, ASU 2023-09 should be applied on a prospective basis while retrospective application is permitted. The Company does not expect this adoption to have a material impact on its consolidated financial statements.</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2024, the FASB issued ASU 2024-03, Income Statement—Reporting Comprehensive Income—Expense Disaggregation Disclosures (Subtopic 220-40): Disaggregation of Income Statement Expenses. The guidance requires additional disclosure of certain amounts included in the expense captions presented on the Statement of Operations as well as disclosures about selling expenses. This guidance is effective on a prospective basis, with the option for retrospective application, for annual periods beginning after December 15, 2026 and interim reporting periods beginning after December 15, 2027. The Company is in the process of assessing the impact the adoption of this guidance will have on the Company’s financial statement disclosures.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July 2025, the FASB issued ASU 2025-05, Measurement of Credit Losses for Accounts Receivable and Contract Assets. This standard amends ASC 326-20 to provide a practical expedient related to the estimation of expected credit losses for current accounts receivable and current contract assets that arise from transactions accounted for under ASC 606. The guidance is effective on a prospective basis for annual reporting periods beginning after December 15, 2025 and interim periods in those annual periods. The Company is in the process of assessing the impact the adoption of this guidance will have on the Company’s financial statement disclosures.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September 2025, the FASB issued ASU 2025-06, Targeted Improvements to the Accounting for Internal-Use Software. This standard is intended to improve the operability and application of guidance related to capitalized software development costs. The guidance becomes effective on a prospective basis, with the option for modified prospective or retrospective application, for all entities for annual reporting periods beginning after December 15, 2027 and interim periods in those annual periods. The Company is in the process of assessing the impact the adoption of this guidance will have on the Company’s financial statement disclosures.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In November 2023, the FASB issued ASU 2023-07, Segment Reporting (Topic 280): Improvements to Reportable Segment Disclosures, which requires enhanced disclosures about segment expenses on an annual and interim basis. This standard is effective for the Company’s consolidated financial statements for the year ending December 31, 2024 and for interim periods beginning in 2025. See </w:t>
      </w:r>
      <w:r>
        <w:rPr>
          <w:rFonts w:ascii="Arial" w:cs="Arial" w:eastAsia="Arial" w:hAnsi="Arial"/>
          <w:sz w:val="16"/>
          <w:szCs w:val="16"/>
          <w:i w:val="1"/>
          <w:iCs w:val="1"/>
          <w:color w:val="auto"/>
        </w:rPr>
        <w:t>Note 14 - Segment Information</w:t>
      </w:r>
      <w:r>
        <w:rPr>
          <w:rFonts w:ascii="Arial" w:cs="Arial" w:eastAsia="Arial" w:hAnsi="Arial"/>
          <w:sz w:val="16"/>
          <w:szCs w:val="16"/>
          <w:color w:val="auto"/>
        </w:rPr>
        <w:t xml:space="preserve"> in the accompanying notes to the condensed consolidated financial statements for further detail.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Note 3 - Revenue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net revenue disaggregated by principal product categories: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6"/>
                <w:szCs w:val="16"/>
                <w:b w:val="1"/>
                <w:bCs w:val="1"/>
                <w:color w:val="auto"/>
              </w:rPr>
              <w:t>Three Months Ended 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6"/>
                <w:szCs w:val="16"/>
                <w:b w:val="1"/>
                <w:bCs w:val="1"/>
                <w:color w:val="auto"/>
              </w:rPr>
              <w:t>Nine Months Ended September 30,</w:t>
            </w:r>
          </w:p>
        </w:tc>
        <w:tc>
          <w:tcPr>
            <w:tcW w:w="880" w:type="dxa"/>
            <w:vAlign w:val="bottom"/>
            <w:tcBorders>
              <w:bottom w:val="single" w:sz="8" w:color="auto"/>
            </w:tcBorders>
          </w:tcPr>
          <w:p>
            <w:pPr>
              <w:spacing w:after="0"/>
              <w:rPr>
                <w:sz w:val="20"/>
                <w:szCs w:val="20"/>
                <w:color w:val="auto"/>
              </w:rPr>
            </w:pPr>
          </w:p>
        </w:tc>
      </w:tr>
      <w:tr>
        <w:trPr>
          <w:trHeight w:val="236"/>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spacing w:after="0"/>
              <w:rPr>
                <w:sz w:val="20"/>
                <w:szCs w:val="20"/>
                <w:color w:val="auto"/>
              </w:rPr>
            </w:pPr>
          </w:p>
        </w:tc>
      </w:tr>
      <w:tr>
        <w:trPr>
          <w:trHeight w:val="224"/>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Seafood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108,752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98,826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326,407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292,751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42"/>
        </w:trPr>
        <w:tc>
          <w:tcPr>
            <w:tcW w:w="2000" w:type="dxa"/>
            <w:vAlign w:val="bottom"/>
          </w:tcPr>
          <w:p>
            <w:pPr>
              <w:ind w:left="20"/>
              <w:spacing w:after="0"/>
              <w:rPr>
                <w:sz w:val="20"/>
                <w:szCs w:val="20"/>
                <w:color w:val="auto"/>
              </w:rPr>
            </w:pPr>
            <w:r>
              <w:rPr>
                <w:rFonts w:ascii="Arial" w:cs="Arial" w:eastAsia="Arial" w:hAnsi="Arial"/>
                <w:sz w:val="16"/>
                <w:szCs w:val="16"/>
                <w:color w:val="auto"/>
              </w:rPr>
              <w:t>Meat and Poultry</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70,072</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64,538</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207,866</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186,080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44"/>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Asian Specialty</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52,826</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74,269</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170,930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231,971</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42"/>
        </w:trPr>
        <w:tc>
          <w:tcPr>
            <w:tcW w:w="2000" w:type="dxa"/>
            <w:vAlign w:val="bottom"/>
          </w:tcPr>
          <w:p>
            <w:pPr>
              <w:ind w:left="20"/>
              <w:spacing w:after="0"/>
              <w:rPr>
                <w:sz w:val="20"/>
                <w:szCs w:val="20"/>
                <w:color w:val="auto"/>
              </w:rPr>
            </w:pPr>
            <w:r>
              <w:rPr>
                <w:rFonts w:ascii="Arial" w:cs="Arial" w:eastAsia="Arial" w:hAnsi="Arial"/>
                <w:sz w:val="16"/>
                <w:szCs w:val="16"/>
                <w:color w:val="auto"/>
              </w:rPr>
              <w:t>Produce</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27,829</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31,670</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83,346</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95,924</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44"/>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Packaging and Other</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13,912</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15,797</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43,012</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47,816</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42"/>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Commodity</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33,587</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13,289</w:t>
            </w:r>
          </w:p>
        </w:tc>
        <w:tc>
          <w:tcPr>
            <w:tcW w:w="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88,698</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41,843</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r>
      <w:tr>
        <w:trPr>
          <w:trHeight w:val="235"/>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306,978</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298,389</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920,259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896,385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80" w:type="dxa"/>
            <w:vAlign w:val="bottom"/>
          </w:tcPr>
          <w:p>
            <w:pPr>
              <w:spacing w:after="0"/>
              <w:rPr>
                <w:sz w:val="20"/>
                <w:szCs w:val="20"/>
                <w:color w:val="auto"/>
              </w:rPr>
            </w:pPr>
            <w:r>
              <w:rPr>
                <w:rFonts w:ascii="Arial" w:cs="Arial" w:eastAsia="Arial" w:hAnsi="Arial"/>
                <w:sz w:val="16"/>
                <w:szCs w:val="16"/>
                <w:b w:val="1"/>
                <w:bCs w:val="1"/>
                <w:color w:val="auto"/>
              </w:rPr>
              <w:t>Note 4 - Balance Sheet Components</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5280" w:type="dxa"/>
            <w:vAlign w:val="bottom"/>
          </w:tcPr>
          <w:p>
            <w:pPr>
              <w:spacing w:after="0"/>
              <w:rPr>
                <w:sz w:val="20"/>
                <w:szCs w:val="20"/>
                <w:color w:val="auto"/>
              </w:rPr>
            </w:pPr>
            <w:r>
              <w:rPr>
                <w:rFonts w:ascii="Arial" w:cs="Arial" w:eastAsia="Arial" w:hAnsi="Arial"/>
                <w:sz w:val="16"/>
                <w:szCs w:val="16"/>
                <w:color w:val="auto"/>
              </w:rPr>
              <w:t>Accounts receivable, net consisted of the following:</w:t>
            </w: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9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September 30, 2025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38"/>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55,664</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allowance for expected credit losses</w:t>
            </w:r>
          </w:p>
        </w:tc>
        <w:tc>
          <w:tcPr>
            <w:tcW w:w="19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6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Movement of allowance for expected credit losses was as follows:</w:t>
            </w:r>
          </w:p>
        </w:tc>
        <w:tc>
          <w:tcPr>
            <w:tcW w:w="1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528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5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3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9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38"/>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0" w:type="dxa"/>
            <w:vAlign w:val="bottom"/>
          </w:tcPr>
          <w:p>
            <w:pPr>
              <w:spacing w:after="0"/>
              <w:rPr>
                <w:sz w:val="1"/>
                <w:szCs w:val="1"/>
                <w:color w:val="auto"/>
              </w:rPr>
            </w:pPr>
          </w:p>
        </w:tc>
      </w:tr>
      <w:tr>
        <w:trPr>
          <w:trHeight w:val="235"/>
        </w:trPr>
        <w:tc>
          <w:tcPr>
            <w:tcW w:w="5280" w:type="dxa"/>
            <w:vAlign w:val="bottom"/>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4"/>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Bad debt write-offs</w:t>
            </w:r>
          </w:p>
        </w:tc>
        <w:tc>
          <w:tcPr>
            <w:tcW w:w="19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2,077</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6"/>
                <w:szCs w:val="16"/>
                <w:color w:val="auto"/>
              </w:rPr>
              <w:t>Prepaid expenses and other current assets consisted of the following:</w:t>
            </w: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528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9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September 30, 2025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38"/>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4,443</w:t>
            </w:r>
          </w:p>
        </w:tc>
        <w:tc>
          <w:tcPr>
            <w:tcW w:w="0" w:type="dxa"/>
            <w:vAlign w:val="bottom"/>
          </w:tcPr>
          <w:p>
            <w:pPr>
              <w:spacing w:after="0"/>
              <w:rPr>
                <w:sz w:val="1"/>
                <w:szCs w:val="1"/>
                <w:color w:val="auto"/>
              </w:rPr>
            </w:pPr>
          </w:p>
        </w:tc>
      </w:tr>
      <w:tr>
        <w:trPr>
          <w:trHeight w:val="235"/>
        </w:trPr>
        <w:tc>
          <w:tcPr>
            <w:tcW w:w="5280" w:type="dxa"/>
            <w:vAlign w:val="bottom"/>
          </w:tcPr>
          <w:p>
            <w:pPr>
              <w:ind w:left="20"/>
              <w:spacing w:after="0"/>
              <w:rPr>
                <w:sz w:val="20"/>
                <w:szCs w:val="20"/>
                <w:color w:val="auto"/>
              </w:rPr>
            </w:pPr>
            <w:r>
              <w:rPr>
                <w:rFonts w:ascii="Arial" w:cs="Arial" w:eastAsia="Arial" w:hAnsi="Arial"/>
                <w:sz w:val="16"/>
                <w:szCs w:val="16"/>
                <w:color w:val="auto"/>
              </w:rPr>
              <w:t>Advances to suppliers</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5,606</w:t>
            </w:r>
          </w:p>
        </w:tc>
        <w:tc>
          <w:tcPr>
            <w:tcW w:w="0" w:type="dxa"/>
            <w:vAlign w:val="bottom"/>
          </w:tcPr>
          <w:p>
            <w:pPr>
              <w:spacing w:after="0"/>
              <w:rPr>
                <w:sz w:val="1"/>
                <w:szCs w:val="1"/>
                <w:color w:val="auto"/>
              </w:rPr>
            </w:pPr>
          </w:p>
        </w:tc>
      </w:tr>
      <w:tr>
        <w:trPr>
          <w:trHeight w:val="244"/>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9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0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6,416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11,507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900" w:type="dxa"/>
            <w:vAlign w:val="bottom"/>
            <w:vMerge w:val="restart"/>
          </w:tcPr>
          <w:p>
            <w:pPr>
              <w:jc w:val="right"/>
              <w:ind w:right="1439"/>
              <w:spacing w:after="0"/>
              <w:rPr>
                <w:sz w:val="20"/>
                <w:szCs w:val="20"/>
                <w:color w:val="auto"/>
              </w:rPr>
            </w:pPr>
            <w:r>
              <w:rPr>
                <w:rFonts w:ascii="Arial" w:cs="Arial" w:eastAsia="Arial" w:hAnsi="Arial"/>
                <w:sz w:val="16"/>
                <w:szCs w:val="16"/>
                <w:color w:val="auto"/>
              </w:rPr>
              <w:t>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9"/>
        </w:trPr>
        <w:tc>
          <w:tcPr>
            <w:tcW w:w="52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2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20"/>
                <w:szCs w:val="20"/>
                <w:color w:val="auto"/>
              </w:rPr>
            </w:pPr>
            <w:r>
              <w:rPr>
                <w:rFonts w:ascii="Arial" w:cs="Arial" w:eastAsia="Arial" w:hAnsi="Arial"/>
                <w:sz w:val="16"/>
                <w:szCs w:val="16"/>
                <w:color w:val="auto"/>
              </w:rPr>
              <w:t>Property and equipment, net consisted of the following:</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4"/>
        </w:trPr>
        <w:tc>
          <w:tcPr>
            <w:tcW w:w="7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24"/>
                <w:szCs w:val="24"/>
                <w:color w:val="auto"/>
              </w:rPr>
            </w:pPr>
          </w:p>
        </w:tc>
        <w:tc>
          <w:tcPr>
            <w:tcW w:w="19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2025</w:t>
            </w:r>
          </w:p>
        </w:tc>
        <w:tc>
          <w:tcPr>
            <w:tcW w:w="180" w:type="dxa"/>
            <w:vAlign w:val="bottom"/>
          </w:tcPr>
          <w:p>
            <w:pPr>
              <w:spacing w:after="0"/>
              <w:rPr>
                <w:sz w:val="24"/>
                <w:szCs w:val="24"/>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37"/>
        </w:trPr>
        <w:tc>
          <w:tcPr>
            <w:tcW w:w="7180" w:type="dxa"/>
            <w:vAlign w:val="bottom"/>
            <w:tcBorders>
              <w:top w:val="single" w:sz="8" w:color="CCEEFF"/>
            </w:tcBorders>
            <w:shd w:val="clear" w:color="auto" w:fill="CCEEFF"/>
          </w:tcPr>
          <w:p>
            <w:pPr>
              <w:ind w:left="20"/>
              <w:spacing w:after="0" w:line="237" w:lineRule="exact"/>
              <w:rPr>
                <w:sz w:val="20"/>
                <w:szCs w:val="20"/>
                <w:color w:val="auto"/>
              </w:rPr>
            </w:pPr>
            <w:r>
              <w:rPr>
                <w:rFonts w:ascii="Arial" w:cs="Arial" w:eastAsia="Arial" w:hAnsi="Arial"/>
                <w:sz w:val="16"/>
                <w:szCs w:val="16"/>
                <w:color w:val="auto"/>
              </w:rPr>
              <w:t xml:space="preserve">Automobiles </w:t>
            </w:r>
            <w:r>
              <w:rPr>
                <w:rFonts w:ascii="Arial" w:cs="Arial" w:eastAsia="Arial" w:hAnsi="Arial"/>
                <w:sz w:val="21"/>
                <w:szCs w:val="21"/>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65,310</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50,565</w:t>
            </w:r>
          </w:p>
        </w:tc>
        <w:tc>
          <w:tcPr>
            <w:tcW w:w="0" w:type="dxa"/>
            <w:vAlign w:val="bottom"/>
          </w:tcPr>
          <w:p>
            <w:pPr>
              <w:spacing w:after="0"/>
              <w:rPr>
                <w:sz w:val="1"/>
                <w:szCs w:val="1"/>
                <w:color w:val="auto"/>
              </w:rPr>
            </w:pP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Buildings</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63,045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63,045</w:t>
            </w:r>
          </w:p>
        </w:tc>
        <w:tc>
          <w:tcPr>
            <w:tcW w:w="0" w:type="dxa"/>
            <w:vAlign w:val="bottom"/>
          </w:tcPr>
          <w:p>
            <w:pPr>
              <w:spacing w:after="0"/>
              <w:rPr>
                <w:sz w:val="1"/>
                <w:szCs w:val="1"/>
                <w:color w:val="auto"/>
              </w:rPr>
            </w:pPr>
          </w:p>
        </w:tc>
      </w:tr>
      <w:tr>
        <w:trPr>
          <w:trHeight w:val="251"/>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Building improvements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22,709</w:t>
            </w:r>
          </w:p>
        </w:tc>
        <w:tc>
          <w:tcPr>
            <w:tcW w:w="0" w:type="dxa"/>
            <w:vAlign w:val="bottom"/>
          </w:tcPr>
          <w:p>
            <w:pPr>
              <w:spacing w:after="0"/>
              <w:rPr>
                <w:sz w:val="1"/>
                <w:szCs w:val="1"/>
                <w:color w:val="auto"/>
              </w:rPr>
            </w:pP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51"/>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49,929</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6"/>
                <w:szCs w:val="16"/>
                <w:color w:val="auto"/>
              </w:rPr>
              <w:t xml:space="preserve">Machinery and equipment </w:t>
            </w:r>
            <w:r>
              <w:rPr>
                <w:rFonts w:ascii="Arial" w:cs="Arial" w:eastAsia="Arial" w:hAnsi="Arial"/>
                <w:sz w:val="21"/>
                <w:szCs w:val="21"/>
                <w:color w:val="auto"/>
                <w:vertAlign w:val="superscript"/>
              </w:rPr>
              <w:t>(1)</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14,447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13,216</w:t>
            </w:r>
          </w:p>
        </w:tc>
        <w:tc>
          <w:tcPr>
            <w:tcW w:w="0" w:type="dxa"/>
            <w:vAlign w:val="bottom"/>
          </w:tcPr>
          <w:p>
            <w:pPr>
              <w:spacing w:after="0"/>
              <w:rPr>
                <w:sz w:val="1"/>
                <w:szCs w:val="1"/>
                <w:color w:val="auto"/>
              </w:rPr>
            </w:pPr>
          </w:p>
        </w:tc>
      </w:tr>
      <w:tr>
        <w:trPr>
          <w:trHeight w:val="237"/>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16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10,370</w:t>
            </w:r>
          </w:p>
        </w:tc>
        <w:tc>
          <w:tcPr>
            <w:tcW w:w="0" w:type="dxa"/>
            <w:vAlign w:val="bottom"/>
          </w:tcPr>
          <w:p>
            <w:pPr>
              <w:spacing w:after="0"/>
              <w:rPr>
                <w:sz w:val="1"/>
                <w:szCs w:val="1"/>
                <w:color w:val="auto"/>
              </w:rPr>
            </w:pP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Subtotal</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227,324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210,232</w:t>
            </w:r>
          </w:p>
        </w:tc>
        <w:tc>
          <w:tcPr>
            <w:tcW w:w="0" w:type="dxa"/>
            <w:vAlign w:val="bottom"/>
          </w:tcPr>
          <w:p>
            <w:pPr>
              <w:spacing w:after="0"/>
              <w:rPr>
                <w:sz w:val="1"/>
                <w:szCs w:val="1"/>
                <w:color w:val="auto"/>
              </w:rPr>
            </w:pPr>
          </w:p>
        </w:tc>
      </w:tr>
      <w:tr>
        <w:trPr>
          <w:trHeight w:val="244"/>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(68,607)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(60,660)</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158,717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149,572</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7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83" w:lineRule="auto"/>
        <w:tabs>
          <w:tab w:leader="none" w:pos="368"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cost and accumulated depreciation of property and equipment related to finance leases was $50.1 million and $19.4 million, respectively, at September 30, 2025 and $36.1 million and $14.3 million, respectively, at December 31, 2024. The total future minimum lease payments under all finance leases as of September 30, 2025 is $45.8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Depreciation expense was $3.2 million and $2.6 million for the three months ended September 30, 2025 and 2024, respectively. Depreciation expense was $9.4 million and $7.7 million for the nine months ended September 30, 2025 and 2024,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20"/>
                <w:szCs w:val="20"/>
                <w:color w:val="auto"/>
              </w:rPr>
            </w:pPr>
            <w:r>
              <w:rPr>
                <w:rFonts w:ascii="Arial" w:cs="Arial" w:eastAsia="Arial" w:hAnsi="Arial"/>
                <w:sz w:val="16"/>
                <w:szCs w:val="16"/>
                <w:color w:val="auto"/>
              </w:rPr>
              <w:t>Long-term investments consisted of the following:</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514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Ownership as of</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4"/>
                <w:szCs w:val="14"/>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September 30, 2025</w:t>
            </w:r>
          </w:p>
        </w:tc>
        <w:tc>
          <w:tcPr>
            <w:tcW w:w="200" w:type="dxa"/>
            <w:vAlign w:val="bottom"/>
          </w:tcPr>
          <w:p>
            <w:pPr>
              <w:spacing w:after="0"/>
              <w:rPr>
                <w:sz w:val="14"/>
                <w:szCs w:val="14"/>
                <w:color w:val="auto"/>
              </w:rPr>
            </w:pPr>
          </w:p>
        </w:tc>
        <w:tc>
          <w:tcPr>
            <w:tcW w:w="17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6"/>
        </w:trPr>
        <w:tc>
          <w:tcPr>
            <w:tcW w:w="5140" w:type="dxa"/>
            <w:vAlign w:val="bottom"/>
            <w:vMerge w:val="continue"/>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Asahi Food, Inc. (“Asahi”)</w:t>
            </w: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5"/>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Pt. Tamron Akuatik Produk Industri (“Tamron”)</w:t>
            </w:r>
          </w:p>
        </w:tc>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3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long-term investments</w:t>
            </w: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The investment in Tamron is accounted for using the measurement alternative under Accounting Standards Codification (“ASC”) Topic 321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Equity Securities</w:t>
      </w:r>
      <w:r>
        <w:rPr>
          <w:rFonts w:ascii="Arial" w:cs="Arial" w:eastAsia="Arial" w:hAnsi="Arial"/>
          <w:sz w:val="16"/>
          <w:szCs w:val="16"/>
          <w:color w:val="auto"/>
        </w:rPr>
        <w:t>, which is measured at cost, less any impairment, plus or minus changes resulting from observable price changes in orderly transactions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identical or similar investments, if any. The investment in Asahi is accounted for under the equity method due to the fact that the Company has significant influence but does not exercise control over this investee. The Company determined there was no impairment for the three months ended September 30, 2025 and 2024 for these investments.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Pr>
          <w:p>
            <w:pPr>
              <w:spacing w:after="0"/>
              <w:rPr>
                <w:sz w:val="20"/>
                <w:szCs w:val="20"/>
                <w:color w:val="auto"/>
              </w:rPr>
            </w:pPr>
            <w:r>
              <w:rPr>
                <w:rFonts w:ascii="Arial" w:cs="Arial" w:eastAsia="Arial" w:hAnsi="Arial"/>
                <w:sz w:val="16"/>
                <w:szCs w:val="16"/>
                <w:color w:val="auto"/>
              </w:rPr>
              <w:t>Accrued expenses and other liabilities consisted of the following:</w:t>
            </w: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75"/>
        </w:trPr>
        <w:tc>
          <w:tcPr>
            <w:tcW w:w="66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4"/>
                <w:szCs w:val="24"/>
                <w:color w:val="auto"/>
              </w:rPr>
            </w:pPr>
          </w:p>
        </w:tc>
        <w:tc>
          <w:tcPr>
            <w:tcW w:w="21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2025</w:t>
            </w:r>
          </w:p>
        </w:tc>
        <w:tc>
          <w:tcPr>
            <w:tcW w:w="240" w:type="dxa"/>
            <w:vAlign w:val="bottom"/>
          </w:tcPr>
          <w:p>
            <w:pPr>
              <w:spacing w:after="0"/>
              <w:rPr>
                <w:sz w:val="24"/>
                <w:szCs w:val="24"/>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compensation</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7,497</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Accrued professional fees</w:t>
            </w: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 and fees</w:t>
            </w: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Self-insurance liability</w:t>
            </w: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1,671</w:t>
            </w: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Advance from customers</w:t>
            </w: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w:t>
            </w:r>
          </w:p>
        </w:tc>
      </w:tr>
      <w:tr>
        <w:trPr>
          <w:trHeight w:val="21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4,261</w:t>
            </w:r>
          </w:p>
        </w:tc>
      </w:tr>
      <w:tr>
        <w:trPr>
          <w:trHeight w:val="23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expenses and other liabilities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Note 5 - Fair Value Measurements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hierarchy for its assets and liabilities measured at fair value on a recurring basis as of the dates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September 30, 2025</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December 31, 2024</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3"/>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5"/>
              <w:spacing w:after="0"/>
              <w:rPr>
                <w:sz w:val="20"/>
                <w:szCs w:val="20"/>
                <w:color w:val="auto"/>
              </w:rPr>
            </w:pPr>
            <w:r>
              <w:rPr>
                <w:rFonts w:ascii="Arial" w:cs="Arial" w:eastAsia="Arial" w:hAnsi="Arial"/>
                <w:sz w:val="16"/>
                <w:szCs w:val="16"/>
                <w:b w:val="1"/>
                <w:bCs w:val="1"/>
                <w:color w:val="auto"/>
                <w:w w:val="99"/>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3"/>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5"/>
              <w:spacing w:after="0"/>
              <w:rPr>
                <w:sz w:val="20"/>
                <w:szCs w:val="20"/>
                <w:color w:val="auto"/>
              </w:rPr>
            </w:pPr>
            <w:r>
              <w:rPr>
                <w:rFonts w:ascii="Arial" w:cs="Arial" w:eastAsia="Arial" w:hAnsi="Arial"/>
                <w:sz w:val="16"/>
                <w:szCs w:val="16"/>
                <w:b w:val="1"/>
                <w:bCs w:val="1"/>
                <w:color w:val="auto"/>
                <w:w w:val="99"/>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15"/>
        </w:trPr>
        <w:tc>
          <w:tcPr>
            <w:tcW w:w="1860" w:type="dxa"/>
            <w:vAlign w:val="bottom"/>
          </w:tcPr>
          <w:p>
            <w:pPr>
              <w:spacing w:after="0"/>
              <w:rPr>
                <w:sz w:val="10"/>
                <w:szCs w:val="10"/>
                <w:color w:val="auto"/>
              </w:rPr>
            </w:pPr>
          </w:p>
        </w:tc>
        <w:tc>
          <w:tcPr>
            <w:tcW w:w="108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96"/>
              </w:rPr>
              <w:t>Quoted Prices in</w:t>
            </w:r>
          </w:p>
        </w:tc>
        <w:tc>
          <w:tcPr>
            <w:tcW w:w="100" w:type="dxa"/>
            <w:vAlign w:val="bottom"/>
          </w:tcPr>
          <w:p>
            <w:pPr>
              <w:spacing w:after="0"/>
              <w:rPr>
                <w:sz w:val="10"/>
                <w:szCs w:val="10"/>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Significant Other</w:t>
            </w:r>
          </w:p>
        </w:tc>
        <w:tc>
          <w:tcPr>
            <w:tcW w:w="120" w:type="dxa"/>
            <w:vAlign w:val="bottom"/>
          </w:tcPr>
          <w:p>
            <w:pPr>
              <w:spacing w:after="0"/>
              <w:rPr>
                <w:sz w:val="10"/>
                <w:szCs w:val="10"/>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96"/>
              </w:rPr>
              <w:t>Quoted Prices in</w:t>
            </w:r>
          </w:p>
        </w:tc>
        <w:tc>
          <w:tcPr>
            <w:tcW w:w="100" w:type="dxa"/>
            <w:vAlign w:val="bottom"/>
          </w:tcPr>
          <w:p>
            <w:pPr>
              <w:spacing w:after="0"/>
              <w:rPr>
                <w:sz w:val="10"/>
                <w:szCs w:val="10"/>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Significant Other</w:t>
            </w:r>
          </w:p>
        </w:tc>
        <w:tc>
          <w:tcPr>
            <w:tcW w:w="120" w:type="dxa"/>
            <w:vAlign w:val="bottom"/>
          </w:tcPr>
          <w:p>
            <w:pPr>
              <w:spacing w:after="0"/>
              <w:rPr>
                <w:sz w:val="10"/>
                <w:szCs w:val="10"/>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118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Active Markets</w:t>
            </w:r>
          </w:p>
        </w:tc>
        <w:tc>
          <w:tcPr>
            <w:tcW w:w="11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Active Markets</w:t>
            </w:r>
          </w:p>
        </w:tc>
        <w:tc>
          <w:tcPr>
            <w:tcW w:w="11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for Identical</w:t>
            </w: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Observable</w:t>
            </w:r>
          </w:p>
        </w:tc>
        <w:tc>
          <w:tcPr>
            <w:tcW w:w="12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for Identical</w:t>
            </w: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Observable</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3"/>
              </w:rPr>
              <w:t>Assets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Inputs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8"/>
              </w:rPr>
              <w:t>Assets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7"/>
              </w:rPr>
              <w:t>Inputs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Inputs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ind w:left="4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6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2"/>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The Company follows the provisions of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which clarifies the definition of fair value, prescribes methods for measuring fair value, and establishes a fair value hierarchy to classify the inputs used in measuring fair value as follows:</w:t>
      </w:r>
    </w:p>
    <w:p>
      <w:pPr>
        <w:spacing w:after="0" w:line="168"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1 - Inputs are unadjusted quoted prices in active markets for identical assets or liabilities available at the measurement date.</w:t>
      </w:r>
    </w:p>
    <w:p>
      <w:pPr>
        <w:spacing w:after="0" w:line="261" w:lineRule="exact"/>
        <w:rPr>
          <w:rFonts w:ascii="Arial" w:cs="Arial" w:eastAsia="Arial" w:hAnsi="Arial"/>
          <w:sz w:val="16"/>
          <w:szCs w:val="16"/>
          <w:color w:val="auto"/>
        </w:rPr>
      </w:pPr>
    </w:p>
    <w:p>
      <w:pPr>
        <w:jc w:val="both"/>
        <w:ind w:firstLine="8"/>
        <w:spacing w:after="0" w:line="266" w:lineRule="auto"/>
        <w:tabs>
          <w:tab w:leader="none" w:pos="637"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spacing w:after="0" w:line="211" w:lineRule="exact"/>
        <w:rPr>
          <w:rFonts w:ascii="Arial" w:cs="Arial" w:eastAsia="Arial" w:hAnsi="Arial"/>
          <w:sz w:val="16"/>
          <w:szCs w:val="16"/>
          <w:color w:val="auto"/>
        </w:rPr>
      </w:pPr>
    </w:p>
    <w:p>
      <w:pPr>
        <w:ind w:right="20" w:firstLine="8"/>
        <w:spacing w:after="0" w:line="286" w:lineRule="auto"/>
        <w:tabs>
          <w:tab w:leader="none" w:pos="637"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 Inputs are unobservable inputs which reflect the reporting entity’s own assumptions about what assumptions market participants would use in pricing the asset or liability based on the best available information.</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carrying amounts reported in the condensed consolidated balance sheets for cash, accounts receivable, other current assets, accounts payable, checks issued not presented for payment and accrued expenses and other liabilities approximate their fair value based on the short-term maturity of these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7 - Derivative Financial Instruments</w:t>
      </w:r>
      <w:r>
        <w:rPr>
          <w:rFonts w:ascii="Arial" w:cs="Arial" w:eastAsia="Arial" w:hAnsi="Arial"/>
          <w:sz w:val="16"/>
          <w:szCs w:val="16"/>
          <w:color w:val="auto"/>
        </w:rPr>
        <w:t xml:space="preserve"> for additional information regarding the Company’s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6"/>
          <w:szCs w:val="16"/>
          <w:i w:val="1"/>
          <w:iCs w:val="1"/>
          <w:color w:val="auto"/>
        </w:rPr>
        <w:t xml:space="preserve">Carrying Value and Estimated Fair Value of Outstanding Debt </w:t>
      </w:r>
      <w:r>
        <w:rPr>
          <w:rFonts w:ascii="Arial" w:cs="Arial" w:eastAsia="Arial" w:hAnsi="Arial"/>
          <w:sz w:val="16"/>
          <w:szCs w:val="16"/>
          <w:color w:val="auto"/>
        </w:rPr>
        <w:t>- The following table presents the carrying value and estimated fair value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outstanding debt as described in </w:t>
      </w:r>
      <w:r>
        <w:rPr>
          <w:rFonts w:ascii="Arial" w:cs="Arial" w:eastAsia="Arial" w:hAnsi="Arial"/>
          <w:sz w:val="16"/>
          <w:szCs w:val="16"/>
          <w:i w:val="1"/>
          <w:iCs w:val="1"/>
          <w:color w:val="auto"/>
        </w:rPr>
        <w:t>Note 8 - Long-Term Debt</w:t>
      </w:r>
      <w:r>
        <w:rPr>
          <w:rFonts w:ascii="Arial" w:cs="Arial" w:eastAsia="Arial" w:hAnsi="Arial"/>
          <w:sz w:val="16"/>
          <w:szCs w:val="16"/>
          <w:color w:val="auto"/>
        </w:rPr>
        <w:t>, including the current portion, as of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ind w:left="1080"/>
              <w:spacing w:after="0"/>
              <w:rPr>
                <w:sz w:val="20"/>
                <w:szCs w:val="20"/>
                <w:color w:val="auto"/>
              </w:rPr>
            </w:pPr>
            <w:r>
              <w:rPr>
                <w:rFonts w:ascii="Arial" w:cs="Arial" w:eastAsia="Arial" w:hAnsi="Arial"/>
                <w:sz w:val="16"/>
                <w:szCs w:val="16"/>
                <w:b w:val="1"/>
                <w:bCs w:val="1"/>
                <w:color w:val="auto"/>
              </w:rPr>
              <w:t>Fair Value Measurements</w:t>
            </w:r>
          </w:p>
        </w:tc>
        <w:tc>
          <w:tcPr>
            <w:tcW w:w="11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Carrying Value</w:t>
            </w:r>
          </w:p>
        </w:tc>
      </w:tr>
      <w:tr>
        <w:trPr>
          <w:trHeight w:val="169"/>
        </w:trPr>
        <w:tc>
          <w:tcPr>
            <w:tcW w:w="20" w:type="dxa"/>
            <w:vAlign w:val="bottom"/>
          </w:tcPr>
          <w:p>
            <w:pPr>
              <w:spacing w:after="0"/>
              <w:rPr>
                <w:sz w:val="14"/>
                <w:szCs w:val="14"/>
                <w:color w:val="auto"/>
              </w:rPr>
            </w:pPr>
          </w:p>
        </w:tc>
        <w:tc>
          <w:tcPr>
            <w:tcW w:w="4560" w:type="dxa"/>
            <w:vAlign w:val="bottom"/>
            <w:gridSpan w:val="5"/>
          </w:tcPr>
          <w:p>
            <w:pPr>
              <w:spacing w:after="0" w:line="169" w:lineRule="exact"/>
              <w:rPr>
                <w:sz w:val="20"/>
                <w:szCs w:val="20"/>
                <w:color w:val="auto"/>
              </w:rPr>
            </w:pPr>
            <w:r>
              <w:rPr>
                <w:rFonts w:ascii="Arial" w:cs="Arial" w:eastAsia="Arial" w:hAnsi="Arial"/>
                <w:sz w:val="16"/>
                <w:szCs w:val="16"/>
                <w:b w:val="1"/>
                <w:bCs w:val="1"/>
                <w:color w:val="auto"/>
              </w:rPr>
              <w:t>September 30, 2025</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i w:val="1"/>
                <w:iCs w:val="1"/>
                <w:color w:val="auto"/>
              </w:rPr>
              <w:t>Fixed rate debt:</w:t>
            </w:r>
          </w:p>
        </w:tc>
        <w:tc>
          <w:tcPr>
            <w:tcW w:w="3420" w:type="dxa"/>
            <w:vAlign w:val="bottom"/>
            <w:tcBorders>
              <w:bottom w:val="single" w:sz="8" w:color="CCEEFF"/>
            </w:tcBorders>
            <w:gridSpan w:val="4"/>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6"/>
                <w:szCs w:val="16"/>
                <w:color w:val="auto"/>
              </w:rPr>
              <w:t>Bank of America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ind w:left="9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Other financial institutions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2,433</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r>
      <w:tr>
        <w:trPr>
          <w:trHeight w:val="176"/>
        </w:trPr>
        <w:tc>
          <w:tcPr>
            <w:tcW w:w="20" w:type="dxa"/>
            <w:vAlign w:val="bottom"/>
          </w:tcPr>
          <w:p>
            <w:pPr>
              <w:spacing w:after="0"/>
              <w:rPr>
                <w:sz w:val="15"/>
                <w:szCs w:val="15"/>
                <w:color w:val="auto"/>
              </w:rPr>
            </w:pPr>
          </w:p>
        </w:tc>
        <w:tc>
          <w:tcPr>
            <w:tcW w:w="4560" w:type="dxa"/>
            <w:vAlign w:val="bottom"/>
            <w:gridSpan w:val="5"/>
          </w:tcPr>
          <w:p>
            <w:pPr>
              <w:spacing w:after="0" w:line="175" w:lineRule="exact"/>
              <w:rPr>
                <w:sz w:val="20"/>
                <w:szCs w:val="20"/>
                <w:color w:val="auto"/>
              </w:rPr>
            </w:pPr>
            <w:r>
              <w:rPr>
                <w:rFonts w:ascii="Arial" w:cs="Arial" w:eastAsia="Arial" w:hAnsi="Arial"/>
                <w:sz w:val="16"/>
                <w:szCs w:val="16"/>
                <w:i w:val="1"/>
                <w:iCs w:val="1"/>
                <w:color w:val="auto"/>
              </w:rPr>
              <w:t>Variable rate debt:</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JPMorgan Chase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97,277</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97,277</w:t>
            </w:r>
          </w:p>
        </w:tc>
      </w:tr>
      <w:tr>
        <w:trPr>
          <w:trHeight w:val="215"/>
        </w:trPr>
        <w:tc>
          <w:tcPr>
            <w:tcW w:w="2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6"/>
                <w:szCs w:val="16"/>
                <w:color w:val="auto"/>
              </w:rPr>
              <w:t>Bank of America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ind w:left="9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1,953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1,953</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East West Bank</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5,377</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5,377</w:t>
            </w: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196"/>
        </w:trPr>
        <w:tc>
          <w:tcPr>
            <w:tcW w:w="20" w:type="dxa"/>
            <w:vAlign w:val="bottom"/>
            <w:shd w:val="clear" w:color="auto" w:fill="CCEEFF"/>
          </w:tcPr>
          <w:p>
            <w:pPr>
              <w:spacing w:after="0"/>
              <w:rPr>
                <w:sz w:val="17"/>
                <w:szCs w:val="17"/>
                <w:color w:val="auto"/>
              </w:rPr>
            </w:pPr>
          </w:p>
        </w:tc>
        <w:tc>
          <w:tcPr>
            <w:tcW w:w="456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46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i w:val="1"/>
                <w:iCs w:val="1"/>
                <w:color w:val="auto"/>
              </w:rPr>
              <w:t>Fixed rate debt:</w:t>
            </w:r>
          </w:p>
        </w:tc>
        <w:tc>
          <w:tcPr>
            <w:tcW w:w="3100" w:type="dxa"/>
            <w:vAlign w:val="bottom"/>
            <w:tcBorders>
              <w:top w:val="single" w:sz="8" w:color="CCEEFF"/>
            </w:tcBorders>
            <w:gridSpan w:val="2"/>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66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Bank of America</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176"/>
        </w:trPr>
        <w:tc>
          <w:tcPr>
            <w:tcW w:w="20" w:type="dxa"/>
            <w:vAlign w:val="bottom"/>
          </w:tcPr>
          <w:p>
            <w:pPr>
              <w:spacing w:after="0"/>
              <w:rPr>
                <w:sz w:val="15"/>
                <w:szCs w:val="15"/>
                <w:color w:val="auto"/>
              </w:rPr>
            </w:pPr>
          </w:p>
        </w:tc>
        <w:tc>
          <w:tcPr>
            <w:tcW w:w="4560" w:type="dxa"/>
            <w:vAlign w:val="bottom"/>
            <w:gridSpan w:val="5"/>
          </w:tcPr>
          <w:p>
            <w:pPr>
              <w:spacing w:after="0" w:line="175" w:lineRule="exact"/>
              <w:rPr>
                <w:sz w:val="20"/>
                <w:szCs w:val="20"/>
                <w:color w:val="auto"/>
              </w:rPr>
            </w:pPr>
            <w:r>
              <w:rPr>
                <w:rFonts w:ascii="Arial" w:cs="Arial" w:eastAsia="Arial" w:hAnsi="Arial"/>
                <w:sz w:val="16"/>
                <w:szCs w:val="16"/>
                <w:i w:val="1"/>
                <w:iCs w:val="1"/>
                <w:color w:val="auto"/>
              </w:rPr>
              <w:t>Variable rate debt:</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JPMorgan Chase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101,040</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101,040</w:t>
            </w:r>
          </w:p>
        </w:tc>
      </w:tr>
      <w:tr>
        <w:trPr>
          <w:trHeight w:val="215"/>
        </w:trPr>
        <w:tc>
          <w:tcPr>
            <w:tcW w:w="2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6"/>
                <w:szCs w:val="16"/>
                <w:color w:val="auto"/>
              </w:rPr>
              <w:t>Bank of America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ind w:left="9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2,063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2,063</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East West Bank</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5,518</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w:t>
            </w: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8 - Long-Term Debt</w:t>
      </w:r>
      <w:r>
        <w:rPr>
          <w:rFonts w:ascii="Arial" w:cs="Arial" w:eastAsia="Arial" w:hAnsi="Arial"/>
          <w:sz w:val="16"/>
          <w:szCs w:val="16"/>
          <w:color w:val="auto"/>
        </w:rPr>
        <w:t xml:space="preserve"> for additional information regarding the Company’s debt.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Values</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measures fair value of certain assets on a nonrecurring basis when events or changes in circumstances indicate that the carrying value of the assets may not be recoverable. No adjustments to fair value from the write-down of asset values due to impairment were made during the nine months ended September 30, 2025 and 2024.</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As further disclosed in </w:t>
      </w:r>
      <w:r>
        <w:rPr>
          <w:rFonts w:ascii="Arial" w:cs="Arial" w:eastAsia="Arial" w:hAnsi="Arial"/>
          <w:sz w:val="16"/>
          <w:szCs w:val="16"/>
          <w:i w:val="1"/>
          <w:iCs w:val="1"/>
          <w:color w:val="auto"/>
        </w:rPr>
        <w:t>Note 6 - Goodwill and Acquired Intangible Assets,</w:t>
      </w:r>
      <w:r>
        <w:rPr>
          <w:rFonts w:ascii="Arial" w:cs="Arial" w:eastAsia="Arial" w:hAnsi="Arial"/>
          <w:sz w:val="16"/>
          <w:szCs w:val="16"/>
          <w:color w:val="auto"/>
        </w:rPr>
        <w:t xml:space="preserve"> we performed a quantitative goodwill impairment analysis as of December 31, 2024. The results of testing as of December 31, 2024 concluded that the estimated fair value of our one reporting unit fell short of carrying value, and therefore impairment existed as of that date. Goodwill impairment charges of $46.3 million were recorded in the fourth quarter of the year ended December 31, 2024. The calculation of the fair value of our reporting unit was determined using Level 3 fair value measurements due to its use of internal projections and unobservable measurement inputs.</w:t>
      </w:r>
    </w:p>
    <w:p>
      <w:pPr>
        <w:spacing w:after="0" w:line="21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There were no assets that were carried at nonrecurring fair value at September 30, 2025. There were no assets carried at nonrecurring fair value other than goodwill at December 31, 2024.</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Note 6 - Goodwill and Acquired Intangible Assets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w:t>
      </w:r>
    </w:p>
    <w:p>
      <w:pPr>
        <w:spacing w:after="0" w:line="200" w:lineRule="exact"/>
        <w:rPr>
          <w:sz w:val="20"/>
          <w:szCs w:val="20"/>
          <w:color w:val="auto"/>
        </w:rPr>
      </w:pPr>
    </w:p>
    <w:p>
      <w:pPr>
        <w:spacing w:after="0" w:line="30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There is only one reporting unit at September 30, 2025 and December 31, 2024. The Company tests goodwill for impairment at least annually, as of December 31, or whenever events or changes in circumstances indicated goodwill might be impaired.</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result of the declines in the level of stock price prior to year end, the Company performed a quantitative impairment assessment as of December 31, 2024. The results of the testing as of December 31, 2024, concluded that the estimated fair value of the reporting unit fell short of carrying value, and therefore impairment existed as of that date. A goodwill impairment charge of $46.3 million was recorded in the fourth quarter during the year ended December 31, 2024.</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in future periods, the financial performance of the reporting unit does not meet forecasted expectations, or a prolonged decline occurs in the market price of the Company’s common stock, it may cause a change in the results of the impairment assessment and, as such, could result in further impairment of goodwill.</w:t>
      </w:r>
    </w:p>
    <w:p>
      <w:pPr>
        <w:spacing w:after="0" w:line="3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determined that there were no events or circumstances during the nine months ended September 30, 2025 that would more likely than not reduce the fair value of the reporting unit below its carrying value. Goodwill was $38.8 million as of September 30, 2025 and December 31, 2024.</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Acquired Intangible Assets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intangible assets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September 30, 2025</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2024</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95"/>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Net</w:t>
            </w:r>
          </w:p>
        </w:tc>
        <w:tc>
          <w:tcPr>
            <w:tcW w:w="220" w:type="dxa"/>
            <w:vAlign w:val="bottom"/>
          </w:tcPr>
          <w:p>
            <w:pPr>
              <w:spacing w:after="0"/>
              <w:rPr>
                <w:sz w:val="16"/>
                <w:szCs w:val="16"/>
                <w:color w:val="auto"/>
              </w:rPr>
            </w:pPr>
          </w:p>
        </w:tc>
        <w:tc>
          <w:tcPr>
            <w:tcW w:w="108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auto"/>
              </w:rPr>
              <w:t>Net</w:t>
            </w:r>
          </w:p>
        </w:tc>
      </w:tr>
      <w:tr>
        <w:trPr>
          <w:trHeight w:val="189"/>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080" w:type="dxa"/>
            <w:vAlign w:val="bottom"/>
          </w:tcPr>
          <w:p>
            <w:pPr>
              <w:jc w:val="center"/>
              <w:ind w:right="13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auto"/>
              </w:rPr>
              <w:t>Carrying</w:t>
            </w:r>
          </w:p>
        </w:tc>
      </w:tr>
      <w:tr>
        <w:trPr>
          <w:trHeight w:val="24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Amortization</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Amount</w:t>
            </w:r>
          </w:p>
        </w:tc>
      </w:tr>
      <w:tr>
        <w:trPr>
          <w:trHeight w:val="238"/>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Non-competition agreement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35"/>
        </w:trPr>
        <w:tc>
          <w:tcPr>
            <w:tcW w:w="2620" w:type="dxa"/>
            <w:vAlign w:val="bottom"/>
          </w:tcPr>
          <w:p>
            <w:pPr>
              <w:ind w:left="20"/>
              <w:spacing w:after="0"/>
              <w:rPr>
                <w:sz w:val="20"/>
                <w:szCs w:val="20"/>
                <w:color w:val="auto"/>
              </w:rPr>
            </w:pPr>
            <w:r>
              <w:rPr>
                <w:rFonts w:ascii="Arial" w:cs="Arial" w:eastAsia="Arial" w:hAnsi="Arial"/>
                <w:sz w:val="16"/>
                <w:szCs w:val="16"/>
                <w:color w:val="auto"/>
              </w:rPr>
              <w:t>Trademarks and trade names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44,207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44,207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(19,465)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24,742</w:t>
            </w:r>
          </w:p>
        </w:tc>
      </w:tr>
      <w:tr>
        <w:trPr>
          <w:trHeight w:val="251"/>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(48,651)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136,615</w:t>
            </w:r>
          </w:p>
        </w:tc>
      </w:tr>
      <w:tr>
        <w:trPr>
          <w:trHeight w:val="236"/>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Inventory Management System</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161,526</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acquired intangible assets was $4.0 million and $4.1 million for the three months ended September 30, 2025 and 2024.</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acquired intangible assets was $11.8 million and $12.2 million for the nine months ended September 30, 2025 and 2024.</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Derivative Financial Instruments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 Instruments</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Company utilizes interest rate swaps (“IRS”) for the sole purpose of mitigating interest rate fluctuation risk associated with floating rate debt instruments (as defined in </w:t>
      </w:r>
      <w:r>
        <w:rPr>
          <w:rFonts w:ascii="Arial" w:cs="Arial" w:eastAsia="Arial" w:hAnsi="Arial"/>
          <w:sz w:val="16"/>
          <w:szCs w:val="16"/>
          <w:i w:val="1"/>
          <w:iCs w:val="1"/>
          <w:color w:val="auto"/>
        </w:rPr>
        <w:t>Note 8 - Long-Term Debt</w:t>
      </w:r>
      <w:r>
        <w:rPr>
          <w:rFonts w:ascii="Arial" w:cs="Arial" w:eastAsia="Arial" w:hAnsi="Arial"/>
          <w:sz w:val="16"/>
          <w:szCs w:val="16"/>
          <w:color w:val="auto"/>
        </w:rPr>
        <w:t>). The Company does not use any other derivative financial instruments for trading or speculative purposes.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20, 2019, HF Foods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the remaining duration of the term loans. The amended EWB IRS contracts fixed the two term loans at 4.23% per annum until maturity in September 2029.</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19, 2019, HF Foods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3" w:name="page14"/>
    <w:bookmarkEnd w:id="13"/>
    <w:p>
      <w:pPr>
        <w:jc w:val="both"/>
        <w:spacing w:after="0" w:line="286" w:lineRule="auto"/>
        <w:rPr>
          <w:sz w:val="20"/>
          <w:szCs w:val="20"/>
          <w:color w:val="auto"/>
        </w:rPr>
      </w:pPr>
      <w:r>
        <w:rPr>
          <w:rFonts w:ascii="Arial" w:cs="Arial" w:eastAsia="Arial" w:hAnsi="Arial"/>
          <w:sz w:val="16"/>
          <w:szCs w:val="16"/>
          <w:color w:val="auto"/>
        </w:rPr>
        <w:t>SOFR + 2.5%. The BOA IRS was modified accordingly to fix the SOFR based loan to approximately 4.50%. The term loan and corresponding BOA IRS contract mature in December 2029.</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March 15, 2023, the Company entered into an amortizing IRS contract with JPMorgan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evaluated the aforementioned IRS contracts currently in place and did not designate those as cash flow hedges. Hence, the fair value changes of these IRS contracts are accounted for and recognized as a change in fair value of interest rate swap contracts in the condensed consolidated statements of operations and comprehensive loss.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September 30, 2025, the Company determined that the fair values of the IRS contracts were $0.3 million in an asset position and $1.7 million in a liability position. As of December 31, 2024, the fair values of the IRS contracts were $0.5 million in an asset position and none in a liability position. The Company includes these in other long-term assets and other long-term liabilities, respectively, on the condensed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Long-Term Debt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Long-term debt at September 30, 2025 and December 31, 2024 is summarized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gridSpan w:val="2"/>
          </w:tcPr>
          <w:p>
            <w:pPr>
              <w:ind w:left="20"/>
              <w:spacing w:after="0"/>
              <w:rPr>
                <w:sz w:val="20"/>
                <w:szCs w:val="20"/>
                <w:color w:val="auto"/>
              </w:rPr>
            </w:pPr>
            <w:r>
              <w:rPr>
                <w:rFonts w:ascii="Arial" w:cs="Arial" w:eastAsia="Arial" w:hAnsi="Arial"/>
                <w:sz w:val="16"/>
                <w:szCs w:val="16"/>
                <w:i w:val="1"/>
                <w:iCs w:val="1"/>
                <w:color w:val="auto"/>
              </w:rPr>
              <w:t>($ in thousands)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Interest Rate at</w:t>
            </w:r>
          </w:p>
        </w:tc>
        <w:tc>
          <w:tcPr>
            <w:tcW w:w="18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76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w w:val="98"/>
              </w:rPr>
              <w:t>December 31, 2024</w:t>
            </w: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Bank Name</w:t>
            </w:r>
          </w:p>
        </w:tc>
        <w:tc>
          <w:tcPr>
            <w:tcW w:w="100" w:type="dxa"/>
            <w:vAlign w:val="bottom"/>
            <w:tcBorders>
              <w:bottom w:val="single" w:sz="8" w:color="CCEEFF"/>
            </w:tcBorders>
          </w:tcPr>
          <w:p>
            <w:pPr>
              <w:spacing w:after="0"/>
              <w:rPr>
                <w:sz w:val="21"/>
                <w:szCs w:val="21"/>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September 30, 2025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80" w:type="dxa"/>
            <w:vAlign w:val="bottom"/>
            <w:shd w:val="clear" w:color="auto" w:fill="CCEEFF"/>
          </w:tcPr>
          <w:p>
            <w:pPr>
              <w:ind w:left="20"/>
              <w:spacing w:after="0" w:line="236" w:lineRule="exact"/>
              <w:rPr>
                <w:sz w:val="20"/>
                <w:szCs w:val="20"/>
                <w:color w:val="auto"/>
              </w:rPr>
            </w:pPr>
            <w:r>
              <w:rPr>
                <w:rFonts w:ascii="Arial" w:cs="Arial" w:eastAsia="Arial" w:hAnsi="Arial"/>
                <w:sz w:val="16"/>
                <w:szCs w:val="16"/>
                <w:color w:val="auto"/>
              </w:rPr>
              <w:t xml:space="preserve">Bank of America </w:t>
            </w:r>
            <w:r>
              <w:rPr>
                <w:rFonts w:ascii="Arial" w:cs="Arial" w:eastAsia="Arial" w:hAnsi="Arial"/>
                <w:sz w:val="27"/>
                <w:szCs w:val="27"/>
                <w:color w:val="auto"/>
                <w:vertAlign w:val="superscript"/>
              </w:rPr>
              <w:t>(a)</w:t>
            </w:r>
          </w:p>
        </w:tc>
        <w:tc>
          <w:tcPr>
            <w:tcW w:w="10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October 2026 - December 2029</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4.34% - 6.97%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line="243" w:lineRule="exact"/>
              <w:rPr>
                <w:sz w:val="20"/>
                <w:szCs w:val="20"/>
                <w:color w:val="auto"/>
              </w:rPr>
            </w:pPr>
            <w:r>
              <w:rPr>
                <w:rFonts w:ascii="Arial" w:cs="Arial" w:eastAsia="Arial" w:hAnsi="Arial"/>
                <w:sz w:val="16"/>
                <w:szCs w:val="16"/>
                <w:color w:val="auto"/>
              </w:rPr>
              <w:t xml:space="preserve">East West Bank </w:t>
            </w:r>
            <w:r>
              <w:rPr>
                <w:rFonts w:ascii="Arial" w:cs="Arial" w:eastAsia="Arial" w:hAnsi="Arial"/>
                <w:sz w:val="28"/>
                <w:szCs w:val="28"/>
                <w:color w:val="auto"/>
                <w:vertAlign w:val="superscript"/>
              </w:rPr>
              <w:t>(b)</w:t>
            </w:r>
          </w:p>
        </w:tc>
        <w:tc>
          <w:tcPr>
            <w:tcW w:w="2960" w:type="dxa"/>
            <w:vAlign w:val="bottom"/>
            <w:gridSpan w:val="2"/>
          </w:tcPr>
          <w:p>
            <w:pPr>
              <w:jc w:val="center"/>
              <w:ind w:right="100"/>
              <w:spacing w:after="0"/>
              <w:rPr>
                <w:sz w:val="20"/>
                <w:szCs w:val="20"/>
                <w:color w:val="auto"/>
              </w:rPr>
            </w:pPr>
            <w:r>
              <w:rPr>
                <w:rFonts w:ascii="Arial" w:cs="Arial" w:eastAsia="Arial" w:hAnsi="Arial"/>
                <w:sz w:val="16"/>
                <w:szCs w:val="16"/>
                <w:color w:val="auto"/>
              </w:rPr>
              <w:t>August 2027 - September 2029</w:t>
            </w:r>
          </w:p>
        </w:tc>
        <w:tc>
          <w:tcPr>
            <w:tcW w:w="1720" w:type="dxa"/>
            <w:vAlign w:val="bottom"/>
          </w:tcPr>
          <w:p>
            <w:pPr>
              <w:jc w:val="center"/>
              <w:spacing w:after="0"/>
              <w:rPr>
                <w:sz w:val="20"/>
                <w:szCs w:val="20"/>
                <w:color w:val="auto"/>
              </w:rPr>
            </w:pPr>
            <w:r>
              <w:rPr>
                <w:rFonts w:ascii="Arial" w:cs="Arial" w:eastAsia="Arial" w:hAnsi="Arial"/>
                <w:sz w:val="16"/>
                <w:szCs w:val="16"/>
                <w:color w:val="auto"/>
              </w:rPr>
              <w:t>6.54% - 7.75%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5,518</w:t>
            </w:r>
          </w:p>
        </w:tc>
        <w:tc>
          <w:tcPr>
            <w:tcW w:w="0" w:type="dxa"/>
            <w:vAlign w:val="bottom"/>
          </w:tcPr>
          <w:p>
            <w:pPr>
              <w:spacing w:after="0"/>
              <w:rPr>
                <w:sz w:val="1"/>
                <w:szCs w:val="1"/>
                <w:color w:val="auto"/>
              </w:rPr>
            </w:pPr>
          </w:p>
        </w:tc>
      </w:tr>
      <w:tr>
        <w:trPr>
          <w:trHeight w:val="243"/>
        </w:trPr>
        <w:tc>
          <w:tcPr>
            <w:tcW w:w="278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6"/>
                <w:szCs w:val="16"/>
                <w:color w:val="auto"/>
              </w:rPr>
              <w:t xml:space="preserve">JPMorgan Chase </w:t>
            </w:r>
            <w:r>
              <w:rPr>
                <w:rFonts w:ascii="Arial" w:cs="Arial" w:eastAsia="Arial" w:hAnsi="Arial"/>
                <w:sz w:val="28"/>
                <w:szCs w:val="28"/>
                <w:color w:val="auto"/>
                <w:vertAlign w:val="superscript"/>
              </w:rPr>
              <w:t>(c)</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2030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101,255</w:t>
            </w:r>
          </w:p>
        </w:tc>
        <w:tc>
          <w:tcPr>
            <w:tcW w:w="0" w:type="dxa"/>
            <w:vAlign w:val="bottom"/>
          </w:tcPr>
          <w:p>
            <w:pPr>
              <w:spacing w:after="0"/>
              <w:rPr>
                <w:sz w:val="1"/>
                <w:szCs w:val="1"/>
                <w:color w:val="auto"/>
              </w:rPr>
            </w:pPr>
          </w:p>
        </w:tc>
      </w:tr>
      <w:tr>
        <w:trPr>
          <w:trHeight w:val="242"/>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financial institutions</w:t>
            </w:r>
          </w:p>
        </w:tc>
        <w:tc>
          <w:tcPr>
            <w:tcW w:w="29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rPr>
              <w:t>April 2026 - July 2030</w:t>
            </w:r>
          </w:p>
        </w:tc>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6.60% - 6.99%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 principal amount</w:t>
            </w: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108,949</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Less: debt issuance costs</w:t>
            </w:r>
          </w:p>
        </w:tc>
        <w:tc>
          <w:tcPr>
            <w:tcW w:w="2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43"/>
        </w:trPr>
        <w:tc>
          <w:tcPr>
            <w:tcW w:w="2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 carrying value</w:t>
            </w:r>
          </w:p>
        </w:tc>
        <w:tc>
          <w:tcPr>
            <w:tcW w:w="2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108,734</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Less: current portion</w:t>
            </w:r>
          </w:p>
        </w:tc>
        <w:tc>
          <w:tcPr>
            <w:tcW w:w="2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(5,410)</w:t>
            </w:r>
          </w:p>
        </w:tc>
        <w:tc>
          <w:tcPr>
            <w:tcW w:w="0" w:type="dxa"/>
            <w:vAlign w:val="bottom"/>
          </w:tcPr>
          <w:p>
            <w:pPr>
              <w:spacing w:after="0"/>
              <w:rPr>
                <w:sz w:val="1"/>
                <w:szCs w:val="1"/>
                <w:color w:val="auto"/>
              </w:rPr>
            </w:pPr>
          </w:p>
        </w:tc>
      </w:tr>
      <w:tr>
        <w:trPr>
          <w:trHeight w:val="261"/>
        </w:trPr>
        <w:tc>
          <w:tcPr>
            <w:tcW w:w="2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2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103,324</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4" w:lineRule="exact"/>
        <w:rPr>
          <w:sz w:val="20"/>
          <w:szCs w:val="20"/>
          <w:color w:val="auto"/>
        </w:rPr>
      </w:pPr>
    </w:p>
    <w:p>
      <w:pPr>
        <w:ind w:left="340" w:hanging="332"/>
        <w:spacing w:after="0" w:line="261"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Loan balance consists of real estate term loan and equipment term loan, collateralized by one real property and specific equipment. The real estate term loan is pegged to TERM SOFR + 2.5%.</w:t>
      </w:r>
    </w:p>
    <w:p>
      <w:pPr>
        <w:ind w:left="340" w:hanging="332"/>
        <w:spacing w:after="0" w:line="251"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Real estate term loans with East West Bank are collateralized by three real properties. Balloon payments of $1.8 million and $2.9 million are due at maturity in 2027 and 2029, respectively.</w:t>
      </w:r>
    </w:p>
    <w:p>
      <w:pPr>
        <w:ind w:left="340" w:hanging="332"/>
        <w:spacing w:after="0" w:line="284"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Real estate term loan with a principal balance of $97.5 million as of September 30, 2025 and $101.3 million as of December 31, 2024 is secured by assets held by the Company and has a maturity date of January 2030.</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terms of the various loan agreements related to long-term bank borrowings require the Company to comply with certain financial covenants, including, but not limited to, a fixed charge coverage ratio and effective tangible net worth. As of September 30, 2025, the Company was in compliance with its covenants.</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Facility</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March 31, 2022, the Company entered into the Third Amended Credit Agreement extending the Revolving Facility for five years, with a maturity date of March 31, 2027. The Third Amended Credit Agreement provides for a $100.0 million asset-secured revolving credit facility with a one-month SOFR plus a credit adjustment of 0.1% plus 1.375% per annum. On February 6, 2024, the Company amended the Third Amended Credit Agreement to (i) remove a cap on permitted indebtedness in respect of capital lease obligations, subject to certain enumerated conditions; (ii) create a reserve on the borrowing base, which will be reduced on a dollar-for-dollar basis once the Company has made expenditures in excess of such amount relating to the development and construction of certain real property, and which amounts shall be excluded from certain financial covenants under the Third Amended Credit Agreement and;</w:t>
      </w:r>
    </w:p>
    <w:p>
      <w:pPr>
        <w:spacing w:after="0" w:line="5" w:lineRule="exact"/>
        <w:rPr>
          <w:sz w:val="20"/>
          <w:szCs w:val="20"/>
          <w:color w:val="auto"/>
        </w:rPr>
      </w:pPr>
    </w:p>
    <w:p>
      <w:pPr>
        <w:jc w:val="both"/>
        <w:ind w:right="20" w:firstLine="8"/>
        <w:spacing w:after="0" w:line="267" w:lineRule="auto"/>
        <w:tabs>
          <w:tab w:leader="none" w:pos="261" w:val="left"/>
        </w:tabs>
        <w:numPr>
          <w:ilvl w:val="0"/>
          <w:numId w:val="5"/>
        </w:numPr>
        <w:rPr>
          <w:rFonts w:ascii="Arial" w:cs="Arial" w:eastAsia="Arial" w:hAnsi="Arial"/>
          <w:sz w:val="16"/>
          <w:szCs w:val="16"/>
          <w:color w:val="auto"/>
        </w:rPr>
      </w:pPr>
      <w:r>
        <w:rPr>
          <w:rFonts w:ascii="Arial" w:cs="Arial" w:eastAsia="Arial" w:hAnsi="Arial"/>
          <w:sz w:val="16"/>
          <w:szCs w:val="16"/>
          <w:color w:val="auto"/>
        </w:rPr>
        <w:t>remove certain sublease income from various financial covenants. On July 15, 2024, the Company again amended the Third Amended Credit Agreement to (i) increase the issuing bank sublimit to $10.0 million and; (ii) modify the due date for a borrowing base certificate based on availability under the revolving credit facility.</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February 12, 2025, the Company amended certain terms and conditions of the Third Amended Credit Agreement, by, among other things, (i) increasing the Revolving Commitment (as defined in the Credit Agreement) from $100.0 million to $125.0 million,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4" w:name="page15"/>
    <w:bookmarkEnd w:id="14"/>
    <w:p>
      <w:pPr>
        <w:jc w:val="both"/>
        <w:ind w:firstLine="8"/>
        <w:spacing w:after="0" w:line="275" w:lineRule="auto"/>
        <w:tabs>
          <w:tab w:leader="none" w:pos="228" w:val="left"/>
        </w:tabs>
        <w:numPr>
          <w:ilvl w:val="0"/>
          <w:numId w:val="6"/>
        </w:numPr>
        <w:rPr>
          <w:rFonts w:ascii="Arial" w:cs="Arial" w:eastAsia="Arial" w:hAnsi="Arial"/>
          <w:sz w:val="16"/>
          <w:szCs w:val="16"/>
          <w:color w:val="auto"/>
        </w:rPr>
      </w:pPr>
      <w:r>
        <w:rPr>
          <w:rFonts w:ascii="Arial" w:cs="Arial" w:eastAsia="Arial" w:hAnsi="Arial"/>
          <w:sz w:val="16"/>
          <w:szCs w:val="16"/>
          <w:color w:val="auto"/>
        </w:rPr>
        <w:t>joining three new subsidiaries of the Company to the Credit Agreement, each as a “Borrower” thereunder, (iii) joining Wells Fargo Bank, N.A. to the credit agreement as a “Lender” thereunder, (iv) amending certain affirmative covenants commensurate with the increase in the Revolving Facility, and (v) amending certain restrictions regarding incurring obligations under real property leases and equipment financings in the ordinary course of business.</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September 30, 2025, the Company was in compliance with its covenants. The outstanding principal balance on the line of credit as of September 30, 2025 was $67.2 million and outstanding letters of credit amounted to $8.0 million leaving access to approximately $49.8 million in additional funds through our $125.0 million line of credit, subject to a borrowing base calculation.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Stockholder's Equity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100,000,000 shares of common stock authorized, with a par value of $0.0001 per share.</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September 25, 2025, the Company entered into an At-the-Market (ATM) Sales Agreement with D.A. Davidson &amp; Co. and Roth Capital Partners, LLC, pursuant to which the Company may sell, from time to time, at its discretion, shares (the “Shares”) of the Company’s common stock, par value $0.0001 per share, having an aggregate offering price of up to $100,000,000, subject to the terms of the sales agreement. During the period, the Company did not sell any Shares under the offering.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Earnings (Loss) Per Share</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The Company computes earnings per share (“EPS”) in accordance with ASC Topic 260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ASC 260 requires companies with complex capital structures to present basic and diluted EPS. Basic EPS is measured as net income (loss)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1,046,087 and 601,719 potential common shares related to performance-based restricted stock units and restricted stock units that were excluded from the calculation of diluted EPS for the three months ended September 30, 2025 and 2024, respectively, because their effect could have been anti-dilutive. There were 1,216,821 and 1,542,412 potential common shares related to performance-based restricted stock units and restricted stock units that were excluded from the calculation of diluted EPS for the nine months ended September 30, 2025 and 2024, respectively, because their effect could have been anti-dilutive.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EPS: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9"/>
                <w:szCs w:val="19"/>
                <w:color w:val="auto"/>
              </w:rPr>
            </w:pPr>
          </w:p>
        </w:tc>
        <w:tc>
          <w:tcPr>
            <w:tcW w:w="33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Nine Months Ended September 30,</w:t>
            </w:r>
          </w:p>
        </w:tc>
      </w:tr>
      <w:tr>
        <w:trPr>
          <w:trHeight w:val="24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 except share and per share data)</w:t>
            </w:r>
          </w:p>
        </w:tc>
        <w:tc>
          <w:tcPr>
            <w:tcW w:w="2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r>
      <w:tr>
        <w:trPr>
          <w:trHeight w:val="19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Net loss attributable to HF Foods Group Inc.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(3,940)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(4,617)</w:t>
            </w: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53,031,801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52,726,683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52,913,907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52,490,321</w:t>
            </w: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dilutive securities</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940" w:type="dxa"/>
            <w:vAlign w:val="bottom"/>
          </w:tcPr>
          <w:p>
            <w:pPr>
              <w:ind w:left="140"/>
              <w:spacing w:after="0"/>
              <w:rPr>
                <w:sz w:val="20"/>
                <w:szCs w:val="20"/>
                <w:color w:val="auto"/>
              </w:rPr>
            </w:pPr>
            <w:r>
              <w:rPr>
                <w:rFonts w:ascii="Arial" w:cs="Arial" w:eastAsia="Arial" w:hAnsi="Arial"/>
                <w:sz w:val="16"/>
                <w:szCs w:val="16"/>
                <w:color w:val="auto"/>
              </w:rPr>
              <w:t>Weighted-average dilutive shares outstanding</w:t>
            </w:r>
          </w:p>
        </w:tc>
        <w:tc>
          <w:tcPr>
            <w:tcW w:w="2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53,031,801</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52,726,683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52,913,907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52,490,321</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per common share:</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Income Taxes</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As of September 30, 2025, the Company had one subsidiary outside the U.S. that generated an insignificant amount of activity. As such, no foreign income tax was recorded.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6"/>
          <w:szCs w:val="16"/>
          <w:color w:val="auto"/>
        </w:rPr>
        <w:t>For the three and nine months ended September 30, 2025, the Company’s effective income tax rate of 46.5% and 38.2%, respectively, differed from the federal statutory tax rate primarily as a result of permanent differences and state income taxes, partially offset by tax credits. The Company’s tax provision for the three and nine months ended September 30, 2025 includes a discrete tax expense of $1,900 and $2,500 related to stock-based compensation shortfalls. For the three and nine months ended September 30, 2024, the Company’s effective income tax rate of 24.6% and (4.1)%, respectively, differed from the federal statutory tax rate primarily as a result of permanent differences and state income taxes. The Company’s tax provision for the nine months ended September 30, 2024 included a discrete tax expense of $1.0 million related to the Company’s SEC settlement. Additionally, the Company’s tax provision for the three and nine months ended September 30, 2024 included a discrete tax expense of $0.1 million and $0.2 million, respectively, related to stock-based compensation shortfalls.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evaluated the impact of the OBBBA in the third quarter of 2025, the period of enactment, and determined the impact was not material to the Company’s tax provision as of September 30, 2025. The Company will continue to evaluate the impact of the new legislation on its year-end consolidated financial statements but does not expect the OBBBA to have a material impact.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Related Party Transactions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believes that Mr. Xiao Mou Zhang (“Mr. Zhang”), the former Chief Executive Officer through October 24, 2024, together with certain of his immediate family members are collectively beneficial owners of more than 10% of the Company’s outstanding common stock, and they have ownership interests in various related parties involved in (i) the distribution of food and related products to restaurants and other retailers and (ii) the supply of fresh food, frozen food, and packaging supplies to distributors. Mr. Zhang does not have any involvement in negotiations with any of the above-mentioned related parties.</w:t>
      </w:r>
    </w:p>
    <w:p>
      <w:pPr>
        <w:spacing w:after="0" w:line="3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believes that Mr. Zhou Min Ni (“Mr. Ni”), the Company’s former Co-Chief Executive Officer, together with various trusts for the benefit of Mr. Ni’s four children, are collectively beneficial owners of more than 10% of the outstanding shares of the Company’s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related party transactions as of September 30, 2025 and December 31, 2024 and for the three and nine months ended September 30, 2025, and </w:t>
      </w:r>
      <w:r>
        <w:rPr>
          <w:rFonts w:ascii="Arial" w:cs="Arial" w:eastAsia="Arial" w:hAnsi="Arial"/>
          <w:sz w:val="17"/>
          <w:szCs w:val="17"/>
          <w:color w:val="auto"/>
        </w:rPr>
        <w:t>2024</w:t>
      </w:r>
      <w:r>
        <w:rPr>
          <w:rFonts w:ascii="Arial" w:cs="Arial" w:eastAsia="Arial" w:hAnsi="Arial"/>
          <w:sz w:val="16"/>
          <w:szCs w:val="16"/>
          <w:color w:val="auto"/>
        </w:rPr>
        <w:t>, are identified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Related Party Sales, Purchases, and Lease Agreements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Purchases</w:t>
      </w:r>
    </w:p>
    <w:p>
      <w:pPr>
        <w:spacing w:after="0" w:line="26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Below is a summary of purchases of goods and services from related parties recorded for the three and nine months ended September 30, 2025 and 2024,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80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Nature</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Asahi Food, Inc.</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Trade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8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Conexus Food Solutions LLC (formerly known as</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5"/>
              </w:rPr>
              <w:t>Trade</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3,254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4,049</w:t>
            </w:r>
          </w:p>
        </w:tc>
        <w:tc>
          <w:tcPr>
            <w:tcW w:w="0" w:type="dxa"/>
            <w:vAlign w:val="bottom"/>
          </w:tcPr>
          <w:p>
            <w:pPr>
              <w:spacing w:after="0"/>
              <w:rPr>
                <w:sz w:val="1"/>
                <w:szCs w:val="1"/>
                <w:color w:val="auto"/>
              </w:rPr>
            </w:pPr>
          </w:p>
        </w:tc>
      </w:tr>
      <w:tr>
        <w:trPr>
          <w:trHeight w:val="215"/>
        </w:trPr>
        <w:tc>
          <w:tcPr>
            <w:tcW w:w="4280" w:type="dxa"/>
            <w:vAlign w:val="bottom"/>
            <w:gridSpan w:val="3"/>
          </w:tcPr>
          <w:p>
            <w:pPr>
              <w:ind w:left="20"/>
              <w:spacing w:after="0"/>
              <w:rPr>
                <w:sz w:val="20"/>
                <w:szCs w:val="20"/>
                <w:color w:val="auto"/>
              </w:rPr>
            </w:pPr>
            <w:r>
              <w:rPr>
                <w:rFonts w:ascii="Arial" w:cs="Arial" w:eastAsia="Arial" w:hAnsi="Arial"/>
                <w:sz w:val="16"/>
                <w:szCs w:val="16"/>
                <w:color w:val="auto"/>
              </w:rPr>
              <w:t>(b)  Best Food Services, LLC)</w:t>
            </w: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   Ocean Pacific Seafood Group, Inc.</w:t>
            </w:r>
          </w:p>
        </w:tc>
        <w:tc>
          <w:tcPr>
            <w:tcW w:w="1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5"/>
              </w:rPr>
              <w:t>Trade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5"/>
        </w:trPr>
        <w:tc>
          <w:tcPr>
            <w:tcW w:w="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w:t>
            </w:r>
          </w:p>
        </w:tc>
        <w:tc>
          <w:tcPr>
            <w:tcW w:w="3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Rainfield Ranches, LP</w:t>
            </w:r>
          </w:p>
        </w:tc>
        <w:tc>
          <w:tcPr>
            <w:tcW w:w="10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95"/>
              </w:rPr>
              <w:t>Trade</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35"/>
        </w:trPr>
        <w:tc>
          <w:tcPr>
            <w:tcW w:w="40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through its subsidiary Mountain Food, LLC, owns an equity interest in this entity.</w:t>
      </w:r>
    </w:p>
    <w:p>
      <w:pPr>
        <w:spacing w:after="0" w:line="7" w:lineRule="exact"/>
        <w:rPr>
          <w:rFonts w:ascii="Arial" w:cs="Arial" w:eastAsia="Arial" w:hAnsi="Arial"/>
          <w:sz w:val="14"/>
          <w:szCs w:val="14"/>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 equity interest is held by three Irrevocable Trusts for the benefit of Mr. Zhang’s children.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Zhou Min Ni owns an equity interest in this entity.</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i w:val="1"/>
          <w:iCs w:val="1"/>
          <w:color w:val="auto"/>
        </w:rPr>
        <w:t>Sales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sales to related parties recorded for the three and nine months ended September 30, 2025 and 2024, respectively: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8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4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  ABC Food Trading, LLC</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215"/>
        </w:trPr>
        <w:tc>
          <w:tcPr>
            <w:tcW w:w="300" w:type="dxa"/>
            <w:vAlign w:val="bottom"/>
          </w:tcPr>
          <w:p>
            <w:pPr>
              <w:ind w:left="20"/>
              <w:spacing w:after="0"/>
              <w:rPr>
                <w:sz w:val="20"/>
                <w:szCs w:val="20"/>
                <w:color w:val="auto"/>
              </w:rPr>
            </w:pPr>
            <w:r>
              <w:rPr>
                <w:rFonts w:ascii="Arial" w:cs="Arial" w:eastAsia="Arial" w:hAnsi="Arial"/>
                <w:sz w:val="16"/>
                <w:szCs w:val="16"/>
                <w:color w:val="auto"/>
              </w:rPr>
              <w:t>(b)</w:t>
            </w:r>
          </w:p>
        </w:tc>
        <w:tc>
          <w:tcPr>
            <w:tcW w:w="4660" w:type="dxa"/>
            <w:vAlign w:val="bottom"/>
            <w:gridSpan w:val="2"/>
          </w:tcPr>
          <w:p>
            <w:pPr>
              <w:ind w:left="100"/>
              <w:spacing w:after="0"/>
              <w:rPr>
                <w:sz w:val="20"/>
                <w:szCs w:val="20"/>
                <w:color w:val="auto"/>
              </w:rPr>
            </w:pPr>
            <w:r>
              <w:rPr>
                <w:rFonts w:ascii="Arial" w:cs="Arial" w:eastAsia="Arial" w:hAnsi="Arial"/>
                <w:sz w:val="16"/>
                <w:szCs w:val="16"/>
                <w:color w:val="auto"/>
              </w:rPr>
              <w:t>Asahi Food, Inc.</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63"/>
        </w:trPr>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4660" w:type="dxa"/>
            <w:vAlign w:val="bottom"/>
            <w:gridSpan w:val="2"/>
            <w:shd w:val="clear" w:color="auto" w:fill="CCEEFF"/>
          </w:tcPr>
          <w:p>
            <w:pPr>
              <w:ind w:left="100"/>
              <w:spacing w:after="0" w:line="163" w:lineRule="exact"/>
              <w:rPr>
                <w:sz w:val="20"/>
                <w:szCs w:val="20"/>
                <w:color w:val="auto"/>
              </w:rPr>
            </w:pPr>
            <w:r>
              <w:rPr>
                <w:rFonts w:ascii="Arial" w:cs="Arial" w:eastAsia="Arial" w:hAnsi="Arial"/>
                <w:sz w:val="16"/>
                <w:szCs w:val="16"/>
                <w:color w:val="auto"/>
              </w:rPr>
              <w:t>Conexus Food Solutions LLC (formerly known as Best Food</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6"/>
        </w:trPr>
        <w:tc>
          <w:tcPr>
            <w:tcW w:w="300" w:type="dxa"/>
            <w:vAlign w:val="bottom"/>
            <w:vMerge w:val="continue"/>
            <w:shd w:val="clear" w:color="auto" w:fill="CCEEFF"/>
          </w:tcPr>
          <w:p>
            <w:pPr>
              <w:spacing w:after="0"/>
              <w:rPr>
                <w:sz w:val="18"/>
                <w:szCs w:val="18"/>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Services, LLC)</w:t>
            </w: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gridSpan w:val="3"/>
          </w:tcPr>
          <w:p>
            <w:pPr>
              <w:ind w:left="20"/>
              <w:spacing w:after="0"/>
              <w:rPr>
                <w:sz w:val="20"/>
                <w:szCs w:val="20"/>
                <w:color w:val="auto"/>
              </w:rPr>
            </w:pPr>
            <w:r>
              <w:rPr>
                <w:rFonts w:ascii="Arial" w:cs="Arial" w:eastAsia="Arial" w:hAnsi="Arial"/>
                <w:sz w:val="16"/>
                <w:szCs w:val="16"/>
                <w:color w:val="auto"/>
              </w:rPr>
              <w:t>(c)  First Choice Seafood, Inc.</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4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  Fortune One Foods, Inc.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5"/>
        </w:trPr>
        <w:tc>
          <w:tcPr>
            <w:tcW w:w="4960" w:type="dxa"/>
            <w:vAlign w:val="bottom"/>
            <w:gridSpan w:val="3"/>
          </w:tcPr>
          <w:p>
            <w:pPr>
              <w:ind w:left="20"/>
              <w:spacing w:after="0"/>
              <w:rPr>
                <w:sz w:val="20"/>
                <w:szCs w:val="20"/>
                <w:color w:val="auto"/>
              </w:rPr>
            </w:pPr>
            <w:r>
              <w:rPr>
                <w:rFonts w:ascii="Arial" w:cs="Arial" w:eastAsia="Arial" w:hAnsi="Arial"/>
                <w:sz w:val="16"/>
                <w:szCs w:val="16"/>
                <w:color w:val="auto"/>
              </w:rPr>
              <w:t>(d)  Ocean Pacific Seafood Group, Inc.</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46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 equity interest is held by three Irrevocable Trusts for the benefit of Mr. Zhang’s children.</w:t>
      </w:r>
    </w:p>
    <w:p>
      <w:pPr>
        <w:spacing w:after="0" w:line="21" w:lineRule="exact"/>
        <w:rPr>
          <w:rFonts w:ascii="Arial" w:cs="Arial" w:eastAsia="Arial" w:hAnsi="Arial"/>
          <w:sz w:val="14"/>
          <w:szCs w:val="14"/>
          <w:color w:val="auto"/>
        </w:rPr>
      </w:pPr>
    </w:p>
    <w:p>
      <w:pPr>
        <w:ind w:left="480" w:hanging="472"/>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through its subsidiary Mountain Food, LLC, owns an equity interest in this entity.</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Zhou Min Ni owns an equity interest in this entity indirectly through its parent company.</w:t>
      </w:r>
    </w:p>
    <w:p>
      <w:pPr>
        <w:spacing w:after="0" w:line="14" w:lineRule="exact"/>
        <w:rPr>
          <w:rFonts w:ascii="Arial" w:cs="Arial" w:eastAsia="Arial" w:hAnsi="Arial"/>
          <w:sz w:val="14"/>
          <w:szCs w:val="14"/>
          <w:color w:val="auto"/>
        </w:rPr>
      </w:pPr>
    </w:p>
    <w:p>
      <w:pPr>
        <w:ind w:left="480" w:hanging="472"/>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Zhou Min Ni owns an equity interest in this entity.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Company leases various facilities to related parties.</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2020, the Company renewed a warehouse lease from Yoan Chang Trading Inc. under an operating lease agreement which expired on December 31, 2020. In February 2021, the Company executed a new five-year operating lease agreement with Yoan Chang Trading Inc., effective January 1, 2021 and expiring on December 31, 2025. Rent expense, which is included in distribution, selling and administrative expenses in the condensed consolidated statements of operations and comprehensive loss, was $0.1 million for both the three months ended September 30, 2025 and 2024, and $0.2 million for both the nine months ended September 30, 2025 and 2024.</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Beginning 2014, the Company leased a warehouse to Asahi Food, Inc. under a commercial lease agreement which was rescinded March 1, 2020. A new commercial lease agreement for a period of one year was entered into, expiring February 28, 2021, with a total of four renewal periods with each term being one year. The lease term was extended by an addendum dated September 1, 2023, which extended the lease through September 1, 2025. A second addendum, executed effective September 1, 2025, was enacted during the third quarter which extends the expiration of the lease by one year to September 1, 2026. Rental income was $36,000 for both the three months ended September 30, 2025 and 2024, and $0.1 million for both the nine months ended September 30, 2025 and 2024, which is included in other expense (income), net in the condensed consolidated statements of operations and comprehensive loss.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Related Party Balances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 - Related Parties, Net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accounts receivable with related parties recorded as of September 30, 2025 and December 31, 2024, respectively: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7060" w:type="dxa"/>
            <w:vAlign w:val="bottom"/>
            <w:gridSpan w:val="2"/>
          </w:tcPr>
          <w:p>
            <w:pPr>
              <w:ind w:left="1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2025</w:t>
            </w:r>
          </w:p>
        </w:tc>
        <w:tc>
          <w:tcPr>
            <w:tcW w:w="160" w:type="dxa"/>
            <w:vAlign w:val="bottom"/>
          </w:tcPr>
          <w:p>
            <w:pPr>
              <w:spacing w:after="0"/>
              <w:rPr>
                <w:sz w:val="20"/>
                <w:szCs w:val="20"/>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72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   ABC Food Trading, LLC</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30"/>
        </w:trPr>
        <w:tc>
          <w:tcPr>
            <w:tcW w:w="340" w:type="dxa"/>
            <w:vAlign w:val="bottom"/>
          </w:tcPr>
          <w:p>
            <w:pPr>
              <w:ind w:left="20"/>
              <w:spacing w:after="0"/>
              <w:rPr>
                <w:sz w:val="20"/>
                <w:szCs w:val="20"/>
                <w:color w:val="auto"/>
              </w:rPr>
            </w:pPr>
            <w:r>
              <w:rPr>
                <w:rFonts w:ascii="Arial" w:cs="Arial" w:eastAsia="Arial" w:hAnsi="Arial"/>
                <w:sz w:val="16"/>
                <w:szCs w:val="16"/>
                <w:color w:val="auto"/>
              </w:rPr>
              <w:t>(b)</w:t>
            </w: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Asahi Food, Inc.</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70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Conexus Food Solutions LLC (formerly known as Best Food Services, LLC)</w:t>
            </w:r>
          </w:p>
        </w:tc>
        <w:tc>
          <w:tcPr>
            <w:tcW w:w="1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40" w:type="dxa"/>
            <w:vAlign w:val="bottom"/>
          </w:tcPr>
          <w:p>
            <w:pPr>
              <w:spacing w:after="0"/>
              <w:rPr>
                <w:sz w:val="18"/>
                <w:szCs w:val="18"/>
                <w:color w:val="auto"/>
              </w:rPr>
            </w:pPr>
          </w:p>
        </w:tc>
        <w:tc>
          <w:tcPr>
            <w:tcW w:w="7060" w:type="dxa"/>
            <w:vAlign w:val="bottom"/>
            <w:gridSpan w:val="2"/>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r>
      <w:tr>
        <w:trPr>
          <w:trHeight w:val="20"/>
        </w:trPr>
        <w:tc>
          <w:tcPr>
            <w:tcW w:w="3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 equity interest is held by three Irrevocable Trusts for the benefit of Mr. Zhang’s children.</w:t>
      </w:r>
    </w:p>
    <w:p>
      <w:pPr>
        <w:spacing w:after="0" w:line="21" w:lineRule="exact"/>
        <w:rPr>
          <w:rFonts w:ascii="Arial" w:cs="Arial" w:eastAsia="Arial" w:hAnsi="Arial"/>
          <w:sz w:val="14"/>
          <w:szCs w:val="14"/>
          <w:color w:val="auto"/>
        </w:rPr>
      </w:pPr>
    </w:p>
    <w:p>
      <w:pPr>
        <w:ind w:left="480" w:hanging="472"/>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through its subsidiary Mountain Food, LLC, owns an equity interest in this entity.</w:t>
      </w:r>
    </w:p>
    <w:p>
      <w:pPr>
        <w:spacing w:after="0" w:line="22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All accounts receivable from these related parties are current and considered fully collectible. No allowance is deemed necessary as of September 30, 2025 and December 31, 2024.</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i w:val="1"/>
          <w:iCs w:val="1"/>
          <w:color w:val="auto"/>
        </w:rPr>
        <w:t>Line of Credit Note - Related Parties</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issued a $51,000 line of credit note to Asahi Food, Inc. on November 1, 2024, which is outstanding at September 30, 2025 and included in other current assets in the consolidated balance sheet. Interest shall accrue at a rate of 7.25% per annum with monthly payments of interest only due beginning December 1, 2024 and continuing through the first day of each calendar month until the maturity date of October 31, 2025. Interest income was $924 and $3,081 for the three and nine months ended September 30, 2025, which is included in other income, net in the condensed consolidated statements of operations and comprehensive loss.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Payable - Related Parties</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the accounts payable to related parties are payable upon demand without interest. Below is a summary of accounts payable with related parties recorded as of September 30, 2025 and December 31, 2024, respectively: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ind w:left="48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2025</w:t>
            </w:r>
          </w:p>
        </w:tc>
        <w:tc>
          <w:tcPr>
            <w:tcW w:w="16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7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   Conexus Food Solutions LLC (formerly known as Best Food Services, LLC)</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742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Others</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5"/>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 equity interest is held by three Irrevocable Trusts for the benefit of Mr. Zhang’s children.</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Stock-Based Compensation</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2021, the Company began issuing awards under the HF Foods Group Inc. 2018 Omnibus Equity Incentive Plan (the “2018 Incentive Plan”), which reserves up to 3,000,000 shares of the Company’s common stock for issuance of awards to employees and non-employee directors. On June 3, 2024, the Company’s shareholders approved an amendment to the 2018 Incentive Plan which increased the number of shares of the Company’s common stock available for issuance under the 2018 Incentive Plan to 7,000,000, an increase of 4,000,000 shares. As of September 30, 2025, the Company had 616,061 time-based vesting restricted stock units unvested, 1,056,233 performance-based restricted stock units unvested, 1,515,321 shares of common stock vested and 3,812,385 shares remaining available for future awards under the 2018 Incentive Plan.</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Stock-based compensation expense was $0.6 million and $0.7 million for the three months ended September 30, 2025 and 2024, respectively. Stock-based compensation expense was $1.6 million and $2.0 million for the nine months ended September 30, 2025 and 2024, respectively. Stock-based compensation expense was included in distribution, selling and administrative expenses in the Company’s condensed consolidated statements of operations and comprehensive loss.</w:t>
      </w: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September 30, 2025, there was $4.1 million of total unrecognized compensation cost related to all non-vested outstanding RSUs and PSUs outstanding under the 2018 Incentive Plan, with a weighted average remaining service period of 2.04 years.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Segment Information</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business consists of one operating segment, which is also its one reportable segment. The Company operates solely in the United States and derives revenues by providing sales of food and non-food to customers. The segment’s customer base consists primarily of Asian restaurants located throughout the United States. The Company’s chief operating decision maker (“CODM”) is its chief executive officer, who reviews financial information presented on a consolidated basis. The CODM uses consolidated net (loss) income to assess financial performance and allocate resources. The Company’s measure of segment assets is total assets, as reported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The following table presents selected financial information with respect to the Company’s single operating segment for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2025 and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60" w:type="dxa"/>
            <w:vAlign w:val="bottom"/>
          </w:tcPr>
          <w:p>
            <w:pPr>
              <w:spacing w:after="0"/>
              <w:rPr>
                <w:sz w:val="18"/>
                <w:szCs w:val="18"/>
                <w:color w:val="auto"/>
              </w:rPr>
            </w:pPr>
          </w:p>
        </w:tc>
        <w:tc>
          <w:tcPr>
            <w:tcW w:w="306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8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920,259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896,385</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763,759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743,346</w:t>
            </w:r>
          </w:p>
        </w:tc>
        <w:tc>
          <w:tcPr>
            <w:tcW w:w="0" w:type="dxa"/>
            <w:vAlign w:val="bottom"/>
          </w:tcPr>
          <w:p>
            <w:pPr>
              <w:spacing w:after="0"/>
              <w:rPr>
                <w:sz w:val="1"/>
                <w:szCs w:val="1"/>
                <w:color w:val="auto"/>
              </w:rPr>
            </w:pPr>
          </w:p>
        </w:tc>
      </w:tr>
      <w:tr>
        <w:trPr>
          <w:trHeight w:val="215"/>
        </w:trPr>
        <w:tc>
          <w:tcPr>
            <w:tcW w:w="5160" w:type="dxa"/>
            <w:vAlign w:val="bottom"/>
          </w:tcPr>
          <w:p>
            <w:pPr>
              <w:ind w:left="14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labor costs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73,835</w:t>
            </w:r>
          </w:p>
        </w:tc>
        <w:tc>
          <w:tcPr>
            <w:tcW w:w="0" w:type="dxa"/>
            <w:vAlign w:val="bottom"/>
          </w:tcPr>
          <w:p>
            <w:pPr>
              <w:spacing w:after="0"/>
              <w:rPr>
                <w:sz w:val="1"/>
                <w:szCs w:val="1"/>
                <w:color w:val="auto"/>
              </w:rPr>
            </w:pPr>
          </w:p>
        </w:tc>
      </w:tr>
      <w:tr>
        <w:trPr>
          <w:trHeight w:val="215"/>
        </w:trPr>
        <w:tc>
          <w:tcPr>
            <w:tcW w:w="5160" w:type="dxa"/>
            <w:vAlign w:val="bottom"/>
          </w:tcPr>
          <w:p>
            <w:pPr>
              <w:ind w:left="360"/>
              <w:spacing w:after="0"/>
              <w:rPr>
                <w:sz w:val="20"/>
                <w:szCs w:val="20"/>
                <w:color w:val="auto"/>
              </w:rPr>
            </w:pPr>
            <w:r>
              <w:rPr>
                <w:rFonts w:ascii="Arial" w:cs="Arial" w:eastAsia="Arial" w:hAnsi="Arial"/>
                <w:sz w:val="16"/>
                <w:szCs w:val="16"/>
                <w:color w:val="auto"/>
              </w:rPr>
              <w:t>Professional fees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8,698</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7,722</w:t>
            </w:r>
          </w:p>
        </w:tc>
        <w:tc>
          <w:tcPr>
            <w:tcW w:w="0" w:type="dxa"/>
            <w:vAlign w:val="bottom"/>
          </w:tcPr>
          <w:p>
            <w:pPr>
              <w:spacing w:after="0"/>
              <w:rPr>
                <w:sz w:val="1"/>
                <w:szCs w:val="1"/>
                <w:color w:val="auto"/>
              </w:rPr>
            </w:pPr>
          </w:p>
        </w:tc>
      </w:tr>
      <w:tr>
        <w:trPr>
          <w:trHeight w:val="215"/>
        </w:trPr>
        <w:tc>
          <w:tcPr>
            <w:tcW w:w="516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12,210</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 xml:space="preserve">Other segment expenses </w:t>
            </w:r>
            <w:r>
              <w:rPr>
                <w:rFonts w:ascii="Arial" w:cs="Arial" w:eastAsia="Arial" w:hAnsi="Arial"/>
                <w:sz w:val="21"/>
                <w:szCs w:val="21"/>
                <w:color w:val="auto"/>
                <w:vertAlign w:val="superscript"/>
              </w:rPr>
              <w:t>(a)</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47,523</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Distribution, selling and administrative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150,107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149,988</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3,040</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interest rate swap contracts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Lease guarantee income</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(5,548)</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143"/>
        </w:trPr>
        <w:tc>
          <w:tcPr>
            <w:tcW w:w="5160" w:type="dxa"/>
            <w:vAlign w:val="bottom"/>
            <w:shd w:val="clear" w:color="auto" w:fill="CCEEFF"/>
          </w:tcPr>
          <w:p>
            <w:pPr>
              <w:ind w:left="240"/>
              <w:spacing w:after="0" w:line="143" w:lineRule="exact"/>
              <w:rPr>
                <w:sz w:val="20"/>
                <w:szCs w:val="20"/>
                <w:color w:val="auto"/>
              </w:rPr>
            </w:pPr>
            <w:r>
              <w:rPr>
                <w:rFonts w:ascii="Arial" w:cs="Arial" w:eastAsia="Arial" w:hAnsi="Arial"/>
                <w:sz w:val="16"/>
                <w:szCs w:val="16"/>
                <w:b w:val="1"/>
                <w:bCs w:val="1"/>
                <w:color w:val="auto"/>
              </w:rPr>
              <w:t>NET LOSS AND COMPREHENSIVE LOSS ATTRIBUTABLE TO</w:t>
            </w: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(1,545)</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(4,617)</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HF FOODS GROUP INC.</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hanging="332"/>
        <w:spacing w:after="0" w:line="294"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segment expenses include distribution, selling and administrative expenses which are not provided to the chief operating decision maker on a regular basis. These expenses include primarily auto &amp; truck expense, insurance, occupancy expense and utilities.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Commitments and Contingencies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business. There also exists the possibility of a material adverse effect on the Company’s financial statements for the period in which the effect of an unfavorable outcome becomes probable and reasonably estimable. Legal costs associated with loss contingencies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i w:val="1"/>
          <w:iCs w:val="1"/>
          <w:color w:val="auto"/>
        </w:rPr>
        <w:t>AnHeart Lease Guarantee</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provided a guarantee for two separate leases for two properties located in Manhattan, New York, at 273 Fifth Avenue and 275 Fifth Avenue, for 30 years and 15 years, respectively. The Company previously determined that AnHeart was a VIE as a result of the guarantees. However, the Company concluded it was not the primary beneficiary of AnHeart and therefore did not consolidate, because it did not have the power to direct the activities of AnHeart that most significantly impact AnHeart’s economic performance.</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273 Lease Agreement. The Company agreed to observe all the covenants and conditions of the 273 Lease Agreement, as amended, including the payment of all rents due. Under the terms of the 273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 In March 2024, the Company began construction of a multi-use facility on 273 Fifth Avenue and committed $7.0 million for the completion of the construction project. The Company has incurred $7.3 million in construction costs which was placed in service in September 2025 after receiving the certificate of occupancy.</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As a result, during the year ended December 31, 2022, the Company recorded a lease guarantee liability of $5.9 million. On February 25, 2022, the Company instituted a legal action to pursue legal remedies against AnHeart and Minsheng. In March 2022, the Company agreed to stay that litigation against AnHeart in exchange for AnHeart’s payment of certain back rent from January to April 2022 and its continued partial payment of monthly rent. AnHeart subsequently defaulted on these obligations. On October 25, 2023, the Company commenced a new legal action by filing a complaint in New York County Supreme Court to pursue legal remedies against AnHeart and Minsheng (the “2023 Action”). As of the filing of the new summons and complaint, AnHeart and Minsheng are indebted to the Company in the amount of $474,000. AnHeart and the Company have since reached a settlement agreement (the “Settlement Agreement”) for AnHeart to pay the Company $40,000 a month in rent through December 2024, $46,750 a month in rent from January 2025 through December 2025, and commence regular monthly rental payments in accordance with the lease for 275 Fifth Avenue. The Settlement Agreement also provides that AnHeart will pay twenty-four monthly installments of $11,250 from January 2025 through December 2026 as payment for all back rent due. Effective April 30, 2024, the Company through its subsidiary assumed the lease of a building located on the premises of 275 Fifth Avenue. The assumption of the lease had no impact on the Company’s obligations as guarantor. The lease covers certain portions of the ground floor, lower level, and second floor of the building. The lease term ends on April 30, 2034 and is renewable at the option of the Company for up to two additional five-year terms. The Company shall pay rent of approximately $45,000 per month with provisions for yearly increases. With the assumption of the lease for 275 Fifth Avenue, the Company no longer recognized AnHeart as a VIE. In addition, the remaining lease guarantee liability of $5.4 million was reversed and an operating lease right-of-use asset and liability of $4.9 million was recorded to the consolidated balance sheet. As a result of the reversal, a gain of $5.4 million was recorded to other expense (income), net on the consolidated statements of operations and comprehensive income (loss) in the second quarter of 2024.</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Commitments</w:t>
      </w: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September 30, 2024, the Company entered into an operating lease of a new distribution center located in Georgia. The lease term commenced February 1, 2025 for a period of 10 years and five months and is renewable at the option of the Company for up to three additional five-year terms. The Company is reasonably likely to exercise the first of the three five-year renewal options due to the investment the Company is making to the leased property infrastructure. The Company shall pay rent of approximately $120,000 per month with provisions for yearly increases totaling $29.0 million in future minimum lease payments over 15 years.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As of September 30, 2025, the current portion and non-current portion of obligations under all operating leases was $4.2 million and $23.8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Note 16 - Subsequent Events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Departure of Chief Financial Officer</w:t>
      </w: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Cindy Yao, separated from the Company as its Chief Financial Officer effective October 15, 2025 (the “Separation Date”). In connection with Ms. Yao’s separation, the Company entered into a separation agreement with Ms. Yao on October 30, 2025 (the “Separation Agreement”). Under the Separation Agreement, Ms. Yao will be entitled, subject to her non-revocation of a general release of claims in favor of the Company, to one-half of her annual base salary of $375,000, paid out over a period of six months following the Separation Date (the “Severance Period”), subject to deduction for applicable withholding taxes. Ms. Yao will also be eligible to elect group health plan continuation coverage under the Consolidated Omnibus Budget Reconciliation Act of 1985 (“COBRA”) following the Separation Date, including coverage for eligible dependents, until the earliest of (i) the expiration of the Severance Period,</w:t>
      </w:r>
    </w:p>
    <w:p>
      <w:pPr>
        <w:spacing w:after="0" w:line="4" w:lineRule="exact"/>
        <w:rPr>
          <w:sz w:val="20"/>
          <w:szCs w:val="20"/>
          <w:color w:val="auto"/>
        </w:rPr>
      </w:pPr>
    </w:p>
    <w:p>
      <w:pPr>
        <w:ind w:firstLine="8"/>
        <w:spacing w:after="0" w:line="283" w:lineRule="auto"/>
        <w:tabs>
          <w:tab w:leader="none" w:pos="23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expiration of eligibility for continuation coverage under COBRA, or (iii) the date on which Ms. Yao becomes eligible for substantially equivalent health insurance coverage in connection with new employment.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Utah Building Sale</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October 17, 2025, the Company entered into an agreement to sell a warehouse owned by the Company located in West Jordan, Utah. The agreement provides for a sale price of $4.6 million and is expected to close during the fourth quarter, subject to customary closing conditions. The Company does not expect the transaction to have any significant impact on current customers as operations will be consolidated into another nearby facility owned by the Company. As the building remains in use, the asset was not classified as held for sale as of September 30, 2025 on the Company’s Consolidated Balance Sheet.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tabs>
          <w:tab w:leader="none" w:pos="740" w:val="left"/>
        </w:tabs>
        <w:rPr>
          <w:sz w:val="20"/>
          <w:szCs w:val="20"/>
          <w:color w:val="auto"/>
        </w:rPr>
      </w:pPr>
      <w:r>
        <w:rPr>
          <w:rFonts w:ascii="Arial" w:cs="Arial" w:eastAsia="Arial" w:hAnsi="Arial"/>
          <w:sz w:val="16"/>
          <w:szCs w:val="16"/>
          <w:b w:val="1"/>
          <w:bCs w:val="1"/>
          <w:color w:val="auto"/>
        </w:rPr>
        <w:t>ITEM 2.</w:t>
        <w:tab/>
        <w:t>Management’s Discussion and Analysis of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Quarterly Report on Form 10-Q for HF Foods Group Inc.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Factors that could cause or contribute to such differences include those discussed in this Quarterly Report on Form 10-Q, and in particular, the risks discussed under the caption “Risk Factors” in Item 1A and those discussed in other documents we file with the Securities and Exchange Commission (the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Except as otherwise required by law, we undertake no obligation to update or revise any forward-looking statement as a result of new information, future events or otherwise.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Overview</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market and distribute Asian specialty food products, seafood, fresh produce, frozen and dry food, and non-food products primarily to Asian restaurants and other foodservice customers throughout the United States. HF Foods was formed through a merger between two complementary market leaders, HF Foods Group Inc. and B&amp;R Global. In 2022, HF Foods acquired two frozen seafood suppliers, expanding its distribution network in Illinois, Texas and along the eastern seaboard, from Massachusetts to Florida, as well as Pennsylvania, West Virginia, Ohio, Kentucky, and Tennessee.</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aim to supply the increasing demand for Asian American restaurant cuisine, leveraging our nationwide network of distribution centers and our strong relations with growers and suppliers of fresh, high-quality specialty restaurant food products and supplies primarily in North America, South America and Asia. Capitalizing on our deep understanding of the Asian culture, we have become a trusted partner serving Asian restaurants and other foodservice customers throughout the United States. We are dedicated to serving the vast array of Asian restaurants in need of high-quality and specialized food ingredients at competitive prices.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Transformation Plan</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position the business for long-term success, we have initiated a comprehensive, operational transformation plan in an effort to drive growth and cost savings. Our transformation is focused on four key areas, each of which we expect will positively impact future growth or cost savings. The components of our transformation are as follows:</w:t>
      </w:r>
    </w:p>
    <w:p>
      <w:pPr>
        <w:spacing w:after="0" w:line="178" w:lineRule="exact"/>
        <w:rPr>
          <w:sz w:val="20"/>
          <w:szCs w:val="20"/>
          <w:color w:val="auto"/>
        </w:rPr>
      </w:pPr>
    </w:p>
    <w:p>
      <w:pPr>
        <w:ind w:left="660" w:right="2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Centralized Purchasing: </w:t>
      </w:r>
      <w:r>
        <w:rPr>
          <w:rFonts w:ascii="Arial" w:cs="Arial" w:eastAsia="Arial" w:hAnsi="Arial"/>
          <w:sz w:val="16"/>
          <w:szCs w:val="16"/>
          <w:color w:val="auto"/>
        </w:rPr>
        <w:t>We continue the roll out of our centralized purchasing program with seafood and poultry products and have yielded</w:t>
      </w:r>
      <w:r>
        <w:rPr>
          <w:rFonts w:ascii="Arial" w:cs="Arial" w:eastAsia="Arial" w:hAnsi="Arial"/>
          <w:sz w:val="16"/>
          <w:szCs w:val="16"/>
          <w:b w:val="1"/>
          <w:bCs w:val="1"/>
          <w:color w:val="auto"/>
        </w:rPr>
        <w:t xml:space="preserve"> </w:t>
      </w:r>
      <w:r>
        <w:rPr>
          <w:rFonts w:ascii="Arial" w:cs="Arial" w:eastAsia="Arial" w:hAnsi="Arial"/>
          <w:sz w:val="16"/>
          <w:szCs w:val="16"/>
          <w:color w:val="auto"/>
        </w:rPr>
        <w:t>positive results with respect to margin expansion for the product category. We are now focusing on expanding the program to other categories.</w:t>
      </w:r>
    </w:p>
    <w:p>
      <w:pPr>
        <w:spacing w:after="0" w:line="101" w:lineRule="exact"/>
        <w:rPr>
          <w:rFonts w:ascii="Arial" w:cs="Arial" w:eastAsia="Arial" w:hAnsi="Arial"/>
          <w:sz w:val="16"/>
          <w:szCs w:val="16"/>
          <w:color w:val="auto"/>
        </w:rPr>
      </w:pPr>
    </w:p>
    <w:p>
      <w:pPr>
        <w:jc w:val="both"/>
        <w:ind w:left="660" w:hanging="328"/>
        <w:spacing w:after="0" w:line="27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Fleet and Transportation: </w:t>
      </w:r>
      <w:r>
        <w:rPr>
          <w:rFonts w:ascii="Arial" w:cs="Arial" w:eastAsia="Arial" w:hAnsi="Arial"/>
          <w:sz w:val="16"/>
          <w:szCs w:val="16"/>
          <w:color w:val="auto"/>
        </w:rPr>
        <w:t>We have established a national fleet maintenance program. Within this, we have defined new truck specifications,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a replacement program for 50% of our current fleet, implemented a national fuel savings program to maximize efficiency, and plan to outsource domestic inbound freight logistics to a third-party partner to adopt a cohesive national approach to our supply chain. This is expected to deliver substantial improvements to our transportation system.</w:t>
      </w:r>
    </w:p>
    <w:p>
      <w:pPr>
        <w:spacing w:after="0" w:line="113" w:lineRule="exact"/>
        <w:rPr>
          <w:rFonts w:ascii="Arial" w:cs="Arial" w:eastAsia="Arial" w:hAnsi="Arial"/>
          <w:sz w:val="16"/>
          <w:szCs w:val="16"/>
          <w:color w:val="auto"/>
        </w:rPr>
      </w:pPr>
    </w:p>
    <w:p>
      <w:pPr>
        <w:jc w:val="both"/>
        <w:ind w:left="660" w:hanging="328"/>
        <w:spacing w:after="0" w:line="287"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Digital Transformation: </w:t>
      </w:r>
      <w:r>
        <w:rPr>
          <w:rFonts w:ascii="Arial" w:cs="Arial" w:eastAsia="Arial" w:hAnsi="Arial"/>
          <w:sz w:val="16"/>
          <w:szCs w:val="16"/>
          <w:color w:val="auto"/>
        </w:rPr>
        <w:t>We have completed the implementation of a modern ERP solution across all of our distribution centers.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expects this solution to deliver enhanced operational efficiency and responsiveness, streamlined processes, and greater data driven decision-making.</w:t>
      </w:r>
    </w:p>
    <w:p>
      <w:pPr>
        <w:spacing w:after="0" w:line="302"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Facility Upgrades: </w:t>
      </w:r>
      <w:r>
        <w:rPr>
          <w:rFonts w:ascii="Arial" w:cs="Arial" w:eastAsia="Arial" w:hAnsi="Arial"/>
          <w:sz w:val="16"/>
          <w:szCs w:val="16"/>
          <w:color w:val="auto"/>
        </w:rPr>
        <w:t>We continue reorganizing and upgrading some of our facilities and distribution centers to efficiently streamline costs, and to</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 on cross-selling opportunities with both new and existing customers.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Financial Overview</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i w:val="1"/>
                <w:iCs w:val="1"/>
                <w:color w:val="auto"/>
              </w:rPr>
              <w:t>($ in thousands)</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Change</w:t>
            </w:r>
          </w:p>
        </w:tc>
      </w:tr>
      <w:tr>
        <w:trPr>
          <w:trHeight w:val="209"/>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306,978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920,259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896,385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23,874</w:t>
            </w: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1,120</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6,393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3,051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3,342</w:t>
            </w:r>
          </w:p>
        </w:tc>
      </w:tr>
      <w:tr>
        <w:trPr>
          <w:trHeight w:val="217"/>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w:t>
            </w: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11,748</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8,305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3,443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35,366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27,568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7,798</w:t>
            </w:r>
          </w:p>
        </w:tc>
      </w:tr>
    </w:tbl>
    <w:p>
      <w:pPr>
        <w:spacing w:after="0" w:line="32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 additional information on our non-GAAP financial measures, EBITDA and Adjusted EBITDA, see the section entitled “EBITDA and Adjusted EBITDA” below.</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to Assess HF Foods’ Performance</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Net Revenue</w:t>
      </w:r>
    </w:p>
    <w:p>
      <w:pPr>
        <w:spacing w:after="0" w:line="260"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Gross Profit</w:t>
      </w:r>
    </w:p>
    <w:p>
      <w:pPr>
        <w:spacing w:after="0" w:line="246"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Distribution, Selling and Administrative Expenses</w:t>
      </w:r>
    </w:p>
    <w:p>
      <w:pPr>
        <w:spacing w:after="0" w:line="246"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EBITDA and Adjusted EBITDA</w:t>
      </w:r>
    </w:p>
    <w:p>
      <w:pPr>
        <w:spacing w:after="0" w:line="246"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color w:val="auto"/>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condensed consolidated financial statements included elsewhere in this report, and such information is not meant to replace or supersede GAAP measures.</w:t>
      </w:r>
    </w:p>
    <w:p>
      <w:pPr>
        <w:spacing w:after="0" w:line="199"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color w:val="auto"/>
        </w:rPr>
        <w:t>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w:t>
      </w:r>
    </w:p>
    <w:p>
      <w:pPr>
        <w:spacing w:after="0" w:line="199"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Foods’ results as reported under GAAP. For example, Adjusted EBITDA:</w:t>
      </w:r>
    </w:p>
    <w:p>
      <w:pPr>
        <w:spacing w:after="0" w:line="178" w:lineRule="exact"/>
        <w:rPr>
          <w:sz w:val="20"/>
          <w:szCs w:val="20"/>
          <w:color w:val="auto"/>
        </w:rPr>
      </w:pPr>
    </w:p>
    <w:p>
      <w:pPr>
        <w:ind w:left="1300" w:hanging="482"/>
        <w:spacing w:after="0"/>
        <w:tabs>
          <w:tab w:leader="none" w:pos="130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excludes certain tax payments that may represent a reduction in cash available;</w:t>
      </w:r>
    </w:p>
    <w:p>
      <w:pPr>
        <w:spacing w:after="0" w:line="200" w:lineRule="exact"/>
        <w:rPr>
          <w:rFonts w:ascii="Arial" w:cs="Arial" w:eastAsia="Arial" w:hAnsi="Arial"/>
          <w:sz w:val="16"/>
          <w:szCs w:val="16"/>
          <w:b w:val="1"/>
          <w:bCs w:val="1"/>
          <w:color w:val="auto"/>
        </w:rPr>
      </w:pPr>
    </w:p>
    <w:p>
      <w:pPr>
        <w:spacing w:after="0" w:line="385" w:lineRule="exact"/>
        <w:rPr>
          <w:rFonts w:ascii="Arial" w:cs="Arial" w:eastAsia="Arial" w:hAnsi="Arial"/>
          <w:sz w:val="16"/>
          <w:szCs w:val="16"/>
          <w:b w:val="1"/>
          <w:bCs w:val="1"/>
          <w:color w:val="auto"/>
        </w:rPr>
      </w:pPr>
    </w:p>
    <w:p>
      <w:pPr>
        <w:ind w:left="5540"/>
        <w:spacing w:after="0"/>
        <w:rPr>
          <w:rFonts w:ascii="Arial" w:cs="Arial" w:eastAsia="Arial" w:hAnsi="Arial"/>
          <w:sz w:val="16"/>
          <w:szCs w:val="16"/>
          <w:b w:val="1"/>
          <w:bCs w:val="1"/>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3" w:name="page24"/>
    <w:bookmarkEnd w:id="23"/>
    <w:p>
      <w:pPr>
        <w:ind w:left="1300" w:hanging="482"/>
        <w:spacing w:after="0" w:line="286" w:lineRule="auto"/>
        <w:tabs>
          <w:tab w:leader="none" w:pos="12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reflect any cash capital expenditure requirements for the assets being depreciated and amortized that may have to be replaced in the future;</w:t>
      </w:r>
    </w:p>
    <w:p>
      <w:pPr>
        <w:spacing w:after="0" w:line="61" w:lineRule="exact"/>
        <w:rPr>
          <w:rFonts w:ascii="Arial" w:cs="Arial" w:eastAsia="Arial" w:hAnsi="Arial"/>
          <w:sz w:val="16"/>
          <w:szCs w:val="16"/>
          <w:color w:val="auto"/>
        </w:rPr>
      </w:pPr>
    </w:p>
    <w:p>
      <w:pPr>
        <w:ind w:left="1300" w:hanging="482"/>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reflect changes in, or cash requirements for, our working capital needs; and</w:t>
      </w:r>
    </w:p>
    <w:p>
      <w:pPr>
        <w:spacing w:after="0" w:line="113" w:lineRule="exact"/>
        <w:rPr>
          <w:rFonts w:ascii="Arial" w:cs="Arial" w:eastAsia="Arial" w:hAnsi="Arial"/>
          <w:sz w:val="16"/>
          <w:szCs w:val="16"/>
          <w:color w:val="auto"/>
        </w:rPr>
      </w:pPr>
    </w:p>
    <w:p>
      <w:pPr>
        <w:ind w:left="1300" w:hanging="482"/>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reflect the significant interest expense, or the cash requirements, necessary to service our debt.</w:t>
      </w:r>
    </w:p>
    <w:p>
      <w:pPr>
        <w:spacing w:after="0" w:line="262"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For additional information on EBITDA and Adjusted EBITDA and a reconciliation to their most directly comparable U.S. GAAP financial measures, see “</w:t>
      </w:r>
      <w:r>
        <w:rPr>
          <w:rFonts w:ascii="Arial" w:cs="Arial" w:eastAsia="Arial" w:hAnsi="Arial"/>
          <w:sz w:val="16"/>
          <w:szCs w:val="16"/>
          <w:i w:val="1"/>
          <w:iCs w:val="1"/>
          <w:color w:val="auto"/>
        </w:rPr>
        <w:t>Results of Operations — EBITDA and Adjusted EBITDA</w:t>
      </w:r>
      <w:r>
        <w:rPr>
          <w:rFonts w:ascii="Arial" w:cs="Arial" w:eastAsia="Arial" w:hAnsi="Arial"/>
          <w:sz w:val="16"/>
          <w:szCs w:val="16"/>
          <w:color w:val="auto"/>
        </w:rPr>
        <w:t>” below.</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Three Months Ended September 30, 2025 to Three Months Ended September 30, 2024</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sets forth a summary of our consolidated results of operations for the three months ended September 30, 2025 and 2024</w:t>
      </w:r>
      <w:r>
        <w:rPr>
          <w:rFonts w:ascii="Arial" w:cs="Arial" w:eastAsia="Arial" w:hAnsi="Arial"/>
          <w:sz w:val="16"/>
          <w:szCs w:val="16"/>
          <w:b w:val="1"/>
          <w:bCs w:val="1"/>
          <w:color w:val="auto"/>
        </w:rPr>
        <w:t>.</w:t>
      </w:r>
      <w:r>
        <w:rPr>
          <w:rFonts w:ascii="Arial" w:cs="Arial" w:eastAsia="Arial" w:hAnsi="Arial"/>
          <w:sz w:val="16"/>
          <w:szCs w:val="16"/>
          <w:color w:val="auto"/>
        </w:rPr>
        <w:t xml:space="preserve"> The historical results presented below are not necessarily indicative of the results that may be expected for any future period.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8,589</w:t>
            </w:r>
          </w:p>
        </w:tc>
      </w:tr>
      <w:tr>
        <w:trPr>
          <w:trHeight w:val="242"/>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256,569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248,226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8,343</w:t>
            </w:r>
          </w:p>
        </w:tc>
      </w:tr>
      <w:tr>
        <w:trPr>
          <w:trHeight w:val="238"/>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50,409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42"/>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Distribution, selling and administrative expenses</w:t>
            </w: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49,289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49,652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38"/>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r>
      <w:tr>
        <w:trPr>
          <w:trHeight w:val="242"/>
        </w:trPr>
        <w:tc>
          <w:tcPr>
            <w:tcW w:w="62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44"/>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42"/>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fair value of interest rate swap contracts</w:t>
            </w: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w:t>
            </w:r>
          </w:p>
        </w:tc>
      </w:tr>
      <w:tr>
        <w:trPr>
          <w:trHeight w:val="238"/>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3,457</w:t>
            </w:r>
          </w:p>
        </w:tc>
      </w:tr>
      <w:tr>
        <w:trPr>
          <w:trHeight w:val="242"/>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r>
      <w:tr>
        <w:trPr>
          <w:trHeight w:val="238"/>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and comprehensive loss</w:t>
            </w: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r>
      <w:tr>
        <w:trPr>
          <w:trHeight w:val="242"/>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6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and comprehensive loss attributable to HF Foods Group Inc.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consolidated results of operations expressed as a percentage of net revenue for the periods indicated:</w:t>
      </w:r>
    </w:p>
    <w:p>
      <w:pPr>
        <w:spacing w:after="0" w:line="59"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29210</wp:posOffset>
            </wp:positionV>
            <wp:extent cx="2580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40" w:type="dxa"/>
            <w:vAlign w:val="bottom"/>
            <w:gridSpan w:val="2"/>
          </w:tcPr>
          <w:p>
            <w:pPr>
              <w:ind w:left="7980"/>
              <w:spacing w:after="0"/>
              <w:rPr>
                <w:sz w:val="20"/>
                <w:szCs w:val="20"/>
                <w:color w:val="auto"/>
              </w:rPr>
            </w:pPr>
            <w:r>
              <w:rPr>
                <w:rFonts w:ascii="Arial" w:cs="Arial" w:eastAsia="Arial" w:hAnsi="Arial"/>
                <w:sz w:val="16"/>
                <w:szCs w:val="16"/>
                <w:b w:val="1"/>
                <w:bCs w:val="1"/>
                <w:color w:val="auto"/>
              </w:rPr>
              <w:t>2025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ind w:right="739"/>
              <w:spacing w:after="0"/>
              <w:rPr>
                <w:sz w:val="20"/>
                <w:szCs w:val="20"/>
                <w:color w:val="auto"/>
              </w:rPr>
            </w:pPr>
            <w:r>
              <w:rPr>
                <w:rFonts w:ascii="Arial" w:cs="Arial" w:eastAsia="Arial" w:hAnsi="Arial"/>
                <w:sz w:val="16"/>
                <w:szCs w:val="16"/>
                <w:b w:val="1"/>
                <w:bCs w:val="1"/>
                <w:color w:val="auto"/>
              </w:rPr>
              <w:t>2024</w:t>
            </w:r>
          </w:p>
        </w:tc>
      </w:tr>
      <w:tr>
        <w:trPr>
          <w:trHeight w:val="227"/>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42"/>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83.6 %</w:t>
            </w:r>
          </w:p>
        </w:tc>
        <w:tc>
          <w:tcPr>
            <w:tcW w:w="10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83.2 %</w:t>
            </w:r>
          </w:p>
        </w:tc>
      </w:tr>
      <w:tr>
        <w:trPr>
          <w:trHeight w:val="238"/>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r>
      <w:tr>
        <w:trPr>
          <w:trHeight w:val="242"/>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Distribution, selling and administrative expenses</w:t>
            </w:r>
          </w:p>
        </w:tc>
        <w:tc>
          <w:tcPr>
            <w:tcW w:w="1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16.6 %</w:t>
            </w:r>
          </w:p>
        </w:tc>
      </w:tr>
      <w:tr>
        <w:trPr>
          <w:trHeight w:val="238"/>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42"/>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72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44"/>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42"/>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fair value of interest rate swap contracts</w:t>
            </w:r>
          </w:p>
        </w:tc>
        <w:tc>
          <w:tcPr>
            <w:tcW w:w="1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r>
      <w:tr>
        <w:trPr>
          <w:trHeight w:val="238"/>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42"/>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1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8"/>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and comprehensive loss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42"/>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1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58"/>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and comprehensive loss attributable to HF Foods Group Inc.</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4" w:name="page25"/>
    <w:bookmarkEnd w:id="24"/>
    <w:p>
      <w:pPr>
        <w:jc w:val="both"/>
        <w:spacing w:after="0" w:line="286" w:lineRule="auto"/>
        <w:rPr>
          <w:sz w:val="20"/>
          <w:szCs w:val="20"/>
          <w:color w:val="auto"/>
        </w:rPr>
      </w:pPr>
      <w:r>
        <w:rPr>
          <w:rFonts w:ascii="Arial" w:cs="Arial" w:eastAsia="Arial" w:hAnsi="Arial"/>
          <w:sz w:val="16"/>
          <w:szCs w:val="16"/>
          <w:color w:val="auto"/>
        </w:rPr>
        <w:t>Net revenue for the three months ended September 30, 2025 increased by $8.6 million, or 2.9%, compared to the same period in 2024. The increase was primarily attributable to volume increases and improved pricing in Meat &amp; Poultry and Seafood, offset by a slight decrease in volume within other categories.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Gross profit was $50.4 million for three months ended September 30, 2025 compared to $50.2 million in the same period in 2024, an increase of $0.2 million, or 0.5%. The increase was primarily attributable to an increase in volume and improved pricing during the quarter. Gross profit margin for the three months ended September 30, 2025 of 16.4% remained relatively consistent compared to 16.8% in the same period in 2024 due to an increased proportion of sales from lower margin products, particularly Seafood.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 Selling and Administrative Expenses</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Distribution, selling and administrative expenses decreased by $0.4 million, or 0.7%, to $49.3 million, for the three months ended September 30, 2025. Distribution, selling and administrative expenses as a percentage of net revenue decreased to 16.1% for the three months ended September 30, 2025 from 16.6% in the same period in 2024, primarily due to increased net revenue and lower personnel, professional and insurance costs, partially offset by increased rental, occupancy and other expenses.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Interest expense for the three months ended September 30, 2025 of $2.9 million increased slightly compared to $2.6 million for the three months ended September 30, 2024. Average floating interest rates on our floating-rate debt for the three months ended September 30, 2025 decreased by approximately 1.0% on our line of credit and 1.0% on the JPMorgan Chase mortgage-secured term loan, compared to the same period in 2024. Our average daily line of credit balance decreased by $0.2 million, or 0.3%, to $61.5 million for the three months ended September 30, 2025 from $61.7 million for the three months ended September 30, 2024, and our average daily JPMorgan Chase mortgage-secured term loan balance decreased by $5.1 million, or 5.0%, to $97.9 million for the three months ended September 30, 2025 from $103.0 million for the three months ended September 30, 2024.</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Benefit</w:t>
      </w:r>
    </w:p>
    <w:p>
      <w:pPr>
        <w:spacing w:after="0" w:line="26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Income tax benefit was $0.8 million for the three months ended September 30, 2025, compared to an income tax benefit of $1.3 million for the three months ended September 30, 2024, primarily due to a decrease in loss before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Attributable to HF Foods Group, Inc.</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loss attributable to HF Foods Group, Inc. was $1.1 million for the three months ended September 30, 2025, compared to net loss of $3.9 million for the three months ended September 30, 2024. The improvement was primarily driven by an increase in income from operations of $0.6 million compared to the prior year period and a decrease in change in fair value of interest rate swap contracts by $3.2 million compared to 2024.</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EBITDA and Adjusted EBITDA</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EBITDA and Adjusted EBITDA to the most directly comparable GAAP measure: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242"/>
        </w:trPr>
        <w:tc>
          <w:tcPr>
            <w:tcW w:w="61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2,947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44"/>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42"/>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7,250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6,666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4,344</w:t>
            </w:r>
          </w:p>
        </w:tc>
        <w:tc>
          <w:tcPr>
            <w:tcW w:w="0" w:type="dxa"/>
            <w:vAlign w:val="bottom"/>
          </w:tcPr>
          <w:p>
            <w:pPr>
              <w:spacing w:after="0"/>
              <w:rPr>
                <w:sz w:val="1"/>
                <w:szCs w:val="1"/>
                <w:color w:val="auto"/>
              </w:rPr>
            </w:pPr>
          </w:p>
        </w:tc>
      </w:tr>
      <w:tr>
        <w:trPr>
          <w:trHeight w:val="242"/>
        </w:trPr>
        <w:tc>
          <w:tcPr>
            <w:tcW w:w="6100" w:type="dxa"/>
            <w:vAlign w:val="bottom"/>
          </w:tcPr>
          <w:p>
            <w:pPr>
              <w:ind w:left="20"/>
              <w:spacing w:after="0"/>
              <w:rPr>
                <w:sz w:val="20"/>
                <w:szCs w:val="20"/>
                <w:color w:val="auto"/>
              </w:rPr>
            </w:pPr>
            <w:r>
              <w:rPr>
                <w:rFonts w:ascii="Arial" w:cs="Arial" w:eastAsia="Arial" w:hAnsi="Arial"/>
                <w:sz w:val="16"/>
                <w:szCs w:val="16"/>
                <w:color w:val="auto"/>
              </w:rPr>
              <w:t>Change in fair value of interest rate swap contracts</w:t>
            </w:r>
          </w:p>
        </w:tc>
        <w:tc>
          <w:tcPr>
            <w:tcW w:w="28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44"/>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6"/>
                <w:szCs w:val="16"/>
                <w:color w:val="auto"/>
              </w:rPr>
              <w:t xml:space="preserve">Business transformation costs </w:t>
            </w:r>
            <w:r>
              <w:rPr>
                <w:rFonts w:ascii="Arial" w:cs="Arial" w:eastAsia="Arial" w:hAnsi="Arial"/>
                <w:sz w:val="21"/>
                <w:szCs w:val="21"/>
                <w:color w:val="auto"/>
                <w:vertAlign w:val="superscript"/>
              </w:rPr>
              <w:t>(1)</w:t>
            </w:r>
          </w:p>
        </w:tc>
        <w:tc>
          <w:tcPr>
            <w:tcW w:w="28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1,515</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non-routine expense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6"/>
                <w:szCs w:val="16"/>
                <w:color w:val="auto"/>
              </w:rPr>
              <w:t xml:space="preserve">Executive transition and organizational redesign </w:t>
            </w:r>
            <w:r>
              <w:rPr>
                <w:rFonts w:ascii="Arial" w:cs="Arial" w:eastAsia="Arial" w:hAnsi="Arial"/>
                <w:sz w:val="21"/>
                <w:szCs w:val="21"/>
                <w:color w:val="auto"/>
                <w:vertAlign w:val="superscript"/>
              </w:rPr>
              <w:t>(3)</w:t>
            </w:r>
          </w:p>
        </w:tc>
        <w:tc>
          <w:tcPr>
            <w:tcW w:w="28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61"/>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8,305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3,443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1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5" w:name="page26"/>
    <w:bookmarkEnd w:id="25"/>
    <w:p>
      <w:pPr>
        <w:ind w:left="340" w:right="20" w:hanging="332"/>
        <w:spacing w:after="0" w:line="305" w:lineRule="auto"/>
        <w:tabs>
          <w:tab w:leader="none" w:pos="445"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costs associated with the launch and continued implementation of strategic projects including supply chain management improvements and technology infrastructure initiatives.</w:t>
      </w:r>
    </w:p>
    <w:p>
      <w:pPr>
        <w:spacing w:after="0" w:line="49"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contested proxy and related legal and consulting costs and facility closure costs.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severance and related expenses for the Company’s transition of executive officers and organizational redesign.</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Nine Months Ended September 30, 2025 to Nine Months Ended September 30, 2024</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sets forth a summary of our consolidated results of operations for the nine months ended September 30, 2025 and 2024. The historical results presented below are not necessarily indicative of the results that may be expected for any future period.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gridSpan w:val="5"/>
          </w:tcPr>
          <w:p>
            <w:pPr>
              <w:ind w:left="160"/>
              <w:spacing w:after="0"/>
              <w:rPr>
                <w:sz w:val="20"/>
                <w:szCs w:val="20"/>
                <w:color w:val="auto"/>
              </w:rPr>
            </w:pPr>
            <w:r>
              <w:rPr>
                <w:rFonts w:ascii="Arial" w:cs="Arial" w:eastAsia="Arial" w:hAnsi="Arial"/>
                <w:sz w:val="16"/>
                <w:szCs w:val="16"/>
                <w:b w:val="1"/>
                <w:bCs w:val="1"/>
                <w:color w:val="auto"/>
              </w:rPr>
              <w:t>Nine Months Ended September 30,</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920,259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896,385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23,874</w:t>
            </w:r>
          </w:p>
        </w:tc>
      </w:tr>
      <w:tr>
        <w:trPr>
          <w:trHeight w:val="242"/>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763,759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743,346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20,413</w:t>
            </w:r>
          </w:p>
        </w:tc>
      </w:tr>
      <w:tr>
        <w:trPr>
          <w:trHeight w:val="23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156,500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153,039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w:t>
            </w:r>
          </w:p>
        </w:tc>
      </w:tr>
      <w:tr>
        <w:trPr>
          <w:trHeight w:val="242"/>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Distribution, selling and administrative expenses</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150,107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149,988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38"/>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w:t>
            </w:r>
          </w:p>
        </w:tc>
      </w:tr>
      <w:tr>
        <w:trPr>
          <w:trHeight w:val="242"/>
        </w:trPr>
        <w:tc>
          <w:tcPr>
            <w:tcW w:w="6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44"/>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(3,865)</w:t>
            </w:r>
          </w:p>
        </w:tc>
      </w:tr>
      <w:tr>
        <w:trPr>
          <w:trHeight w:val="242"/>
        </w:trPr>
        <w:tc>
          <w:tcPr>
            <w:tcW w:w="6160" w:type="dxa"/>
            <w:vAlign w:val="bottom"/>
          </w:tcPr>
          <w:p>
            <w:pPr>
              <w:ind w:left="20"/>
              <w:spacing w:after="0"/>
              <w:rPr>
                <w:sz w:val="20"/>
                <w:szCs w:val="20"/>
                <w:color w:val="auto"/>
              </w:rPr>
            </w:pPr>
            <w:r>
              <w:rPr>
                <w:rFonts w:ascii="Arial" w:cs="Arial" w:eastAsia="Arial" w:hAnsi="Arial"/>
                <w:sz w:val="16"/>
                <w:szCs w:val="16"/>
                <w:color w:val="auto"/>
              </w:rPr>
              <w:t>Change in fair value of interest rate swap contracts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957</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guarantee income</w:t>
            </w:r>
          </w:p>
        </w:tc>
        <w:tc>
          <w:tcPr>
            <w:tcW w:w="2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5,548</w:t>
            </w:r>
          </w:p>
        </w:tc>
      </w:tr>
      <w:tr>
        <w:trPr>
          <w:trHeight w:val="237"/>
        </w:trPr>
        <w:tc>
          <w:tcPr>
            <w:tcW w:w="616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932</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r>
      <w:tr>
        <w:trPr>
          <w:trHeight w:val="237"/>
        </w:trPr>
        <w:tc>
          <w:tcPr>
            <w:tcW w:w="6160" w:type="dxa"/>
            <w:vAlign w:val="bottom"/>
          </w:tcPr>
          <w:p>
            <w:pPr>
              <w:ind w:left="20"/>
              <w:spacing w:after="0"/>
              <w:rPr>
                <w:sz w:val="20"/>
                <w:szCs w:val="20"/>
                <w:color w:val="auto"/>
              </w:rPr>
            </w:pPr>
            <w:r>
              <w:rPr>
                <w:rFonts w:ascii="Arial" w:cs="Arial" w:eastAsia="Arial" w:hAnsi="Arial"/>
                <w:sz w:val="16"/>
                <w:szCs w:val="16"/>
                <w:color w:val="auto"/>
              </w:rPr>
              <w:t>Net loss and comprehensive loss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2,267</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w:t>
            </w:r>
          </w:p>
        </w:tc>
      </w:tr>
      <w:tr>
        <w:trPr>
          <w:trHeight w:val="237"/>
        </w:trPr>
        <w:tc>
          <w:tcPr>
            <w:tcW w:w="6160" w:type="dxa"/>
            <w:vAlign w:val="bottom"/>
          </w:tcPr>
          <w:p>
            <w:pPr>
              <w:ind w:left="20"/>
              <w:spacing w:after="0"/>
              <w:rPr>
                <w:sz w:val="20"/>
                <w:szCs w:val="20"/>
                <w:color w:val="auto"/>
              </w:rPr>
            </w:pPr>
            <w:r>
              <w:rPr>
                <w:rFonts w:ascii="Arial" w:cs="Arial" w:eastAsia="Arial" w:hAnsi="Arial"/>
                <w:sz w:val="16"/>
                <w:szCs w:val="16"/>
                <w:color w:val="auto"/>
              </w:rPr>
              <w:t>Net loss and comprehensive loss attributable to HF Foods Group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(4,617)</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3,072</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consolidated results of operations expressed as a percentage of net revenue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Pr>
          <w:p>
            <w:pPr>
              <w:spacing w:after="0"/>
              <w:rPr>
                <w:sz w:val="19"/>
                <w:szCs w:val="19"/>
                <w:color w:val="auto"/>
              </w:rPr>
            </w:pPr>
          </w:p>
        </w:tc>
        <w:tc>
          <w:tcPr>
            <w:tcW w:w="322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80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22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4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83.0 %</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82.9 %</w:t>
            </w: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17.1 %</w:t>
            </w:r>
          </w:p>
        </w:tc>
      </w:tr>
      <w:tr>
        <w:trPr>
          <w:trHeight w:val="24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Distribution, selling and administrative expenses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16.3 %</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16.7 %</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42"/>
        </w:trPr>
        <w:tc>
          <w:tcPr>
            <w:tcW w:w="80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56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4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42"/>
        </w:trPr>
        <w:tc>
          <w:tcPr>
            <w:tcW w:w="8020" w:type="dxa"/>
            <w:vAlign w:val="bottom"/>
          </w:tcPr>
          <w:p>
            <w:pPr>
              <w:ind w:left="20"/>
              <w:spacing w:after="0"/>
              <w:rPr>
                <w:sz w:val="20"/>
                <w:szCs w:val="20"/>
                <w:color w:val="auto"/>
              </w:rPr>
            </w:pPr>
            <w:r>
              <w:rPr>
                <w:rFonts w:ascii="Arial" w:cs="Arial" w:eastAsia="Arial" w:hAnsi="Arial"/>
                <w:sz w:val="16"/>
                <w:szCs w:val="16"/>
                <w:color w:val="auto"/>
              </w:rPr>
              <w:t>Change in fair value of interest rate swap contracts</w:t>
            </w:r>
          </w:p>
        </w:tc>
        <w:tc>
          <w:tcPr>
            <w:tcW w:w="156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guarantee income</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0"/>
        </w:trPr>
        <w:tc>
          <w:tcPr>
            <w:tcW w:w="80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5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0"/>
        </w:trPr>
        <w:tc>
          <w:tcPr>
            <w:tcW w:w="8020" w:type="dxa"/>
            <w:vAlign w:val="bottom"/>
          </w:tcPr>
          <w:p>
            <w:pPr>
              <w:ind w:left="20"/>
              <w:spacing w:after="0"/>
              <w:rPr>
                <w:sz w:val="20"/>
                <w:szCs w:val="20"/>
                <w:color w:val="auto"/>
              </w:rPr>
            </w:pPr>
            <w:r>
              <w:rPr>
                <w:rFonts w:ascii="Arial" w:cs="Arial" w:eastAsia="Arial" w:hAnsi="Arial"/>
                <w:sz w:val="16"/>
                <w:szCs w:val="16"/>
                <w:color w:val="auto"/>
              </w:rPr>
              <w:t>Net loss and comprehensive loss</w:t>
            </w:r>
          </w:p>
        </w:tc>
        <w:tc>
          <w:tcPr>
            <w:tcW w:w="15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5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38"/>
        </w:trPr>
        <w:tc>
          <w:tcPr>
            <w:tcW w:w="8020" w:type="dxa"/>
            <w:vAlign w:val="bottom"/>
          </w:tcPr>
          <w:p>
            <w:pPr>
              <w:ind w:left="20"/>
              <w:spacing w:after="0"/>
              <w:rPr>
                <w:sz w:val="20"/>
                <w:szCs w:val="20"/>
                <w:color w:val="auto"/>
              </w:rPr>
            </w:pPr>
            <w:r>
              <w:rPr>
                <w:rFonts w:ascii="Arial" w:cs="Arial" w:eastAsia="Arial" w:hAnsi="Arial"/>
                <w:sz w:val="16"/>
                <w:szCs w:val="16"/>
                <w:color w:val="auto"/>
              </w:rPr>
              <w:t>Net loss and comprehensive loss attributable to HF Foods Group Inc.</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revenue for the nine months ended September 30, 2025 increased by $23.9 million, or 2.7%, compared to the same period in 2024. This increase was primarily attributable to volume growth and improved pricing in Commodity, Meat &amp; Poultry and Seafood, partially offset by decrease in volume within other categories.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Gross profit was $156.5 million for the nine months ended September 30, 2025 compared to $153.0 million in the same period in 2024, an increase of $3.5 million, or 2.3%. The gross profit increase was primarily attributable to increased net revenue partially offset by increased costs. Gross profit margin for the nine months ended September 30, 2025 slightly decreased to 17.0% compared to 17.1% in the same period in 2024.</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 Selling and Administrative Expenses</w:t>
      </w: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Distribution, selling and administrative expenses of $150.1 million for the nine months ended September 30, 2025 slightly increased compared to prior year expenses of $150.0 million primarily due to an increase in rental, occupancy and delivery expense, partially offset by a decrease in professional and insurance fees and travel and entertainment costs. Distribution, selling and administrative expenses as a percentage of net revenue decreased to 16.3% for the nine months ended September 30, 2025 from 16.7% in the same period in 2024, primarily due to increased revenue and lower professional fees, partially offset by increased rental, occupancy and delivery costs.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Interest expense for the nine months ended September 30, 2025 decreased by $0.2 million or 2.7%, compared to the nine months ended September 30, 2024, primarily due to a decrease in our average daily JPMorgan Chase mortgage-secured term loan balance of $5.1 million, partially offset by an increase in our average daily line of credit balance of $0.3 million combined with a slightly lower interest-rate environment. Average floating interest rates on our floating-rate debt for the nine months ended September 30, 2025 decreased by approximately 1.0% on the line of credit and 1.0% on the JPMorgan Chase mortgage-secured term loan, compared to the same period in 2024. Our average daily line of credit balance increased by $0.3 million, or 0.6%, to $54.6 million for the nine months ended September 30, 2025 from $54.3 million for the nine months ended September 30, 2024, and our average daily JPMorgan Chase mortgage-secured term loan balance decreased by $5.1 million, or 4.9%, to $99.1 million for the nine months ended September 30, 2025 from $104.2 million for the nine months ended September 30, 2024.</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 (Benefit)</w:t>
      </w:r>
    </w:p>
    <w:p>
      <w:pPr>
        <w:spacing w:after="0" w:line="2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Income tax benefit was $1.2 million for the nine months ended September 30, 2025, compared to the income tax expense of $0.2 million for the nine months ended September 30, 2024. The change was primarily driven by the SEC settlement that impacted the tax provision for the period ended September 30, 2024.</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Attributable to HF Foods Group, Inc.</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loss attributable to HF Foods Group Inc. was $1.5 million for the nine months ended September 30, 2025, compared to net loss of $4.6 million for the nine months ended September 30, 2024. The improvement of $3.1 million was primarily driven by an increase in income from operations of $3.3 million compared to the prior year period; however, the prior year’s results included a one time gain from lease guarantee income offset by an SEC settlement within other expense, which did not recur in the current year, thereby partially offsetting the year-over-year improvement.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1"/>
        </w:trPr>
        <w:tc>
          <w:tcPr>
            <w:tcW w:w="6180" w:type="dxa"/>
            <w:vAlign w:val="bottom"/>
          </w:tcPr>
          <w:p>
            <w:pPr>
              <w:spacing w:after="0"/>
              <w:rPr>
                <w:sz w:val="20"/>
                <w:szCs w:val="20"/>
                <w:color w:val="auto"/>
              </w:rPr>
            </w:pPr>
            <w:r>
              <w:rPr>
                <w:rFonts w:ascii="Arial" w:cs="Arial" w:eastAsia="Arial" w:hAnsi="Arial"/>
                <w:sz w:val="16"/>
                <w:szCs w:val="16"/>
                <w:b w:val="1"/>
                <w:bCs w:val="1"/>
                <w:i w:val="1"/>
                <w:iCs w:val="1"/>
                <w:color w:val="auto"/>
              </w:rPr>
              <w:t>EBITDA and Adjusted EBITDA</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020" w:type="dxa"/>
            <w:vAlign w:val="bottom"/>
            <w:gridSpan w:val="4"/>
          </w:tcPr>
          <w:p>
            <w:pPr>
              <w:spacing w:after="0"/>
              <w:rPr>
                <w:sz w:val="20"/>
                <w:szCs w:val="20"/>
                <w:color w:val="auto"/>
              </w:rPr>
            </w:pPr>
            <w:r>
              <w:rPr>
                <w:rFonts w:ascii="Arial" w:cs="Arial" w:eastAsia="Arial" w:hAnsi="Arial"/>
                <w:sz w:val="16"/>
                <w:szCs w:val="16"/>
                <w:color w:val="auto"/>
              </w:rPr>
              <w:t>The following table reconciles EBITDA and Adjusted EBITDA to the most directly comparable GAAP measure:</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20" w:type="dxa"/>
            <w:vAlign w:val="bottom"/>
            <w:gridSpan w:val="5"/>
          </w:tcPr>
          <w:p>
            <w:pPr>
              <w:ind w:left="18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242"/>
        </w:trPr>
        <w:tc>
          <w:tcPr>
            <w:tcW w:w="618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8,331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8,597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44"/>
        </w:trPr>
        <w:tc>
          <w:tcPr>
            <w:tcW w:w="6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expense (benefit)</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42"/>
        </w:trPr>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21,269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19,932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2,003</w:t>
            </w:r>
          </w:p>
        </w:tc>
        <w:tc>
          <w:tcPr>
            <w:tcW w:w="0" w:type="dxa"/>
            <w:vAlign w:val="bottom"/>
          </w:tcPr>
          <w:p>
            <w:pPr>
              <w:spacing w:after="0"/>
              <w:rPr>
                <w:sz w:val="1"/>
                <w:szCs w:val="1"/>
                <w:color w:val="auto"/>
              </w:rPr>
            </w:pPr>
          </w:p>
        </w:tc>
      </w:tr>
      <w:tr>
        <w:trPr>
          <w:trHeight w:val="242"/>
        </w:trPr>
        <w:tc>
          <w:tcPr>
            <w:tcW w:w="6180" w:type="dxa"/>
            <w:vAlign w:val="bottom"/>
          </w:tcPr>
          <w:p>
            <w:pPr>
              <w:ind w:left="240"/>
              <w:spacing w:after="0"/>
              <w:rPr>
                <w:sz w:val="20"/>
                <w:szCs w:val="20"/>
                <w:color w:val="auto"/>
              </w:rPr>
            </w:pPr>
            <w:r>
              <w:rPr>
                <w:rFonts w:ascii="Arial" w:cs="Arial" w:eastAsia="Arial" w:hAnsi="Arial"/>
                <w:sz w:val="16"/>
                <w:szCs w:val="16"/>
                <w:color w:val="auto"/>
              </w:rPr>
              <w:t>Lease guarantee income</w:t>
            </w: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(5,548)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5,548</w:t>
            </w:r>
          </w:p>
        </w:tc>
        <w:tc>
          <w:tcPr>
            <w:tcW w:w="0" w:type="dxa"/>
            <w:vAlign w:val="bottom"/>
          </w:tcPr>
          <w:p>
            <w:pPr>
              <w:spacing w:after="0"/>
              <w:rPr>
                <w:sz w:val="1"/>
                <w:szCs w:val="1"/>
                <w:color w:val="auto"/>
              </w:rPr>
            </w:pPr>
          </w:p>
        </w:tc>
      </w:tr>
      <w:tr>
        <w:trPr>
          <w:trHeight w:val="244"/>
        </w:trPr>
        <w:tc>
          <w:tcPr>
            <w:tcW w:w="6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interest rate swap contracts</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42"/>
        </w:trPr>
        <w:tc>
          <w:tcPr>
            <w:tcW w:w="618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1,961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44"/>
        </w:trPr>
        <w:tc>
          <w:tcPr>
            <w:tcW w:w="6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 settlement</w:t>
            </w:r>
          </w:p>
        </w:tc>
        <w:tc>
          <w:tcPr>
            <w:tcW w:w="2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(3,900)</w:t>
            </w:r>
          </w:p>
        </w:tc>
        <w:tc>
          <w:tcPr>
            <w:tcW w:w="0" w:type="dxa"/>
            <w:vAlign w:val="bottom"/>
          </w:tcPr>
          <w:p>
            <w:pPr>
              <w:spacing w:after="0"/>
              <w:rPr>
                <w:sz w:val="1"/>
                <w:szCs w:val="1"/>
                <w:color w:val="auto"/>
              </w:rPr>
            </w:pPr>
          </w:p>
        </w:tc>
      </w:tr>
      <w:tr>
        <w:trPr>
          <w:trHeight w:val="243"/>
        </w:trPr>
        <w:tc>
          <w:tcPr>
            <w:tcW w:w="6180" w:type="dxa"/>
            <w:vAlign w:val="bottom"/>
          </w:tcPr>
          <w:p>
            <w:pPr>
              <w:ind w:left="240"/>
              <w:spacing w:after="0"/>
              <w:rPr>
                <w:sz w:val="20"/>
                <w:szCs w:val="20"/>
                <w:color w:val="auto"/>
              </w:rPr>
            </w:pPr>
            <w:r>
              <w:rPr>
                <w:rFonts w:ascii="Arial" w:cs="Arial" w:eastAsia="Arial" w:hAnsi="Arial"/>
                <w:sz w:val="16"/>
                <w:szCs w:val="16"/>
                <w:color w:val="auto"/>
              </w:rPr>
              <w:t xml:space="preserve">Business transformation costs </w:t>
            </w:r>
            <w:r>
              <w:rPr>
                <w:rFonts w:ascii="Arial" w:cs="Arial" w:eastAsia="Arial" w:hAnsi="Arial"/>
                <w:sz w:val="21"/>
                <w:szCs w:val="21"/>
                <w:color w:val="auto"/>
                <w:vertAlign w:val="superscript"/>
              </w:rPr>
              <w:t>(1)</w:t>
            </w:r>
          </w:p>
        </w:tc>
        <w:tc>
          <w:tcPr>
            <w:tcW w:w="28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43"/>
        </w:trPr>
        <w:tc>
          <w:tcPr>
            <w:tcW w:w="6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Other non-routine expense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43"/>
        </w:trPr>
        <w:tc>
          <w:tcPr>
            <w:tcW w:w="6180" w:type="dxa"/>
            <w:vAlign w:val="bottom"/>
          </w:tcPr>
          <w:p>
            <w:pPr>
              <w:ind w:left="240"/>
              <w:spacing w:after="0"/>
              <w:rPr>
                <w:sz w:val="20"/>
                <w:szCs w:val="20"/>
                <w:color w:val="auto"/>
              </w:rPr>
            </w:pPr>
            <w:r>
              <w:rPr>
                <w:rFonts w:ascii="Arial" w:cs="Arial" w:eastAsia="Arial" w:hAnsi="Arial"/>
                <w:sz w:val="16"/>
                <w:szCs w:val="16"/>
                <w:color w:val="auto"/>
              </w:rPr>
              <w:t xml:space="preserve">Executive transition and organizational redesign </w:t>
            </w:r>
            <w:r>
              <w:rPr>
                <w:rFonts w:ascii="Arial" w:cs="Arial" w:eastAsia="Arial" w:hAnsi="Arial"/>
                <w:sz w:val="21"/>
                <w:szCs w:val="21"/>
                <w:color w:val="auto"/>
                <w:vertAlign w:val="superscript"/>
              </w:rPr>
              <w:t>(3)</w:t>
            </w:r>
          </w:p>
        </w:tc>
        <w:tc>
          <w:tcPr>
            <w:tcW w:w="28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62"/>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35,366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27,568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7,798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340" w:right="20" w:hanging="332"/>
        <w:spacing w:after="0" w:line="305" w:lineRule="auto"/>
        <w:tabs>
          <w:tab w:leader="none" w:pos="445"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costs associated with the launch and continued implementation of strategic projects including supply chain management improvements and technology infrastructure initiatives.</w:t>
      </w:r>
    </w:p>
    <w:p>
      <w:pPr>
        <w:spacing w:after="0" w:line="36"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contested proxy and related legal and consulting costs and facility closure costs.</w:t>
      </w:r>
    </w:p>
    <w:p>
      <w:pPr>
        <w:spacing w:after="0" w:line="122"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severance and related expenses for the Company’s transition of executive officers and organizational redesign.</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September 30, 2025, we had cash of approximately $12.3 million, checks issued not presented for payment of $2.1 million and access to approximately $49.8 million in additional funds through our $125.0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September 30, 2025.</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party to an amortizing interest rate swap contract with JPMorgan Chase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capital investment plans, liquidating assets, obtaining additional debt or equity capital, or refinancing all or a portion of our debt.</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September 30, 2025, we have no off-balance sheet arrangements that currently have or are reasonably likely to have a material effect on our consolidated financial position, changes in financial condition,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The following table summarizes cash flow data for the nine months ended September 30, 2025 and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00" w:type="dxa"/>
            <w:vAlign w:val="bottom"/>
            <w:gridSpan w:val="5"/>
          </w:tcPr>
          <w:p>
            <w:pPr>
              <w:ind w:left="140"/>
              <w:spacing w:after="0"/>
              <w:rPr>
                <w:sz w:val="20"/>
                <w:szCs w:val="20"/>
                <w:color w:val="auto"/>
              </w:rPr>
            </w:pPr>
            <w:r>
              <w:rPr>
                <w:rFonts w:ascii="Arial" w:cs="Arial" w:eastAsia="Arial" w:hAnsi="Arial"/>
                <w:sz w:val="16"/>
                <w:szCs w:val="16"/>
                <w:b w:val="1"/>
                <w:bCs w:val="1"/>
                <w:color w:val="auto"/>
              </w:rPr>
              <w:t>Nine Months Ended September 30,</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rPr>
              <w:t>4,483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42"/>
        </w:trPr>
        <w:tc>
          <w:tcPr>
            <w:tcW w:w="62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Pr>
          <w:p>
            <w:pPr>
              <w:spacing w:after="0"/>
              <w:rPr>
                <w:sz w:val="21"/>
                <w:szCs w:val="21"/>
                <w:color w:val="auto"/>
              </w:rPr>
            </w:pPr>
          </w:p>
        </w:tc>
        <w:tc>
          <w:tcPr>
            <w:tcW w:w="1440" w:type="dxa"/>
            <w:vAlign w:val="bottom"/>
          </w:tcPr>
          <w:p>
            <w:pPr>
              <w:jc w:val="center"/>
              <w:ind w:left="799"/>
              <w:spacing w:after="0"/>
              <w:rPr>
                <w:sz w:val="20"/>
                <w:szCs w:val="20"/>
                <w:color w:val="auto"/>
              </w:rPr>
            </w:pPr>
            <w:r>
              <w:rPr>
                <w:rFonts w:ascii="Arial" w:cs="Arial" w:eastAsia="Arial" w:hAnsi="Arial"/>
                <w:sz w:val="16"/>
                <w:szCs w:val="16"/>
                <w:color w:val="auto"/>
              </w:rPr>
              <w:t>(9,862)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24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color w:val="auto"/>
              </w:rPr>
              <w:t>3,240</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w:t>
            </w:r>
          </w:p>
        </w:tc>
      </w:tr>
      <w:tr>
        <w:trPr>
          <w:trHeight w:val="238"/>
        </w:trPr>
        <w:tc>
          <w:tcPr>
            <w:tcW w:w="624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rPr>
              <w:t>(2,139)</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w:t>
            </w:r>
          </w:p>
        </w:tc>
      </w:tr>
      <w:tr>
        <w:trPr>
          <w:trHeight w:val="21"/>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Net cash provided by operating activities consists primarily of net income (loss) adjusted for non-cash items, including depreciation and amortization, changes in deferred income taxes and others, and includes the effect of working capital changes. Net cash provided by operating activities increased by $0.3 million primarily due to an increase in non-cash expense add-backs, offset by the timing of working capital outlays mainly for inventory purchases to counter potential tariff increases.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46"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Net cash used in investing activities increased by $0.4 million primarily due to increased capital project spend in the nine months ended September 30,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6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Net cash used in financing activities increased by $1.8 million to $3.2 million during the nine months ended September 30, 2025 primarily due to the higher overall net proceeds from line of credit activity for the nine months ended September 30, 2025 as compared the nine months ended September 30, 2024.</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Critical Accounting Policies and Estimates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prepared the financial information in this Quarterly Report in accordance with GAAP. Preparing our condensed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2024 Annual Report on Form 10-K includes a summary of the critical accounting policies and estimates we believe are the most important to aid in understanding our financial results. There have been no changes to those critical accounting policies and estimates that have had a material impact on our reported amounts of assets, liabilities, revenue, or expenses during the nine months ended September 30, 2025.</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Goodwill Impairment</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annual goodwill impairment assessment is performed as of December 31. As a result of continued declines in the level of stock price, the Company performed a quantitative goodwill impairment assessment as of December 31, 2024. The results of the testing as of December 31, 2024, concluded that the estimated fair value of the reporting unit fell short of carrying value, and therefore impairment existed as of that date. A goodwill impairment charge of $46.3 million was recorded during the fourth quarter of the year ended December 31, 2024.</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the December 31, 2024 impairment test, we used a combination of discounted cash flow (“DCF”) model and market approaches, such as public company comparable analysis and comparable acquisitions analysis to determine fair value of the reporting unit. The income approach and market approaches were weighted equally to estimate fair value. The income approach requires detailed forecasts of cash flows, including significant assumptions such as revenue growth rates, gross profit margins, distribution, selling and administrative expenses, among other assumptions, and an estimate of weighted-average cost of capital which we believe approximate the assumptions from a market participant’s perspective. The market approaches are primarily impacted by an enterprise value multiple of EBITDA. These estimates incorporate many uncertain factors which could be impacted by changes in market conditions, interest rates, growth rate, tax rates, costs, customer behavior, regulatory environment and other macroeconomic changes. In addition, we considered the reasonableness of the fair value of the reporting unit by assessing the implied enterprise value control premium based on our market capitalization and also considered the lack of liquidity in the Company’s common stock. The Company’s common stock is fairly thinly traded, with a higher level of internal stockholders than its peers, and limited equity analyst coverage. As a result, the implied value from the traded stock price is based on limited investment public interest. Our market capitalization is calculated using the number of common shares outstanding and common stock publicly traded price. We determined that the implied control premium was reasonable which</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9" w:name="page30"/>
    <w:bookmarkEnd w:id="29"/>
    <w:p>
      <w:pPr>
        <w:jc w:val="both"/>
        <w:spacing w:after="0" w:line="286" w:lineRule="auto"/>
        <w:rPr>
          <w:sz w:val="20"/>
          <w:szCs w:val="20"/>
          <w:color w:val="auto"/>
        </w:rPr>
      </w:pPr>
      <w:r>
        <w:rPr>
          <w:rFonts w:ascii="Arial" w:cs="Arial" w:eastAsia="Arial" w:hAnsi="Arial"/>
          <w:sz w:val="16"/>
          <w:szCs w:val="16"/>
          <w:color w:val="auto"/>
        </w:rPr>
        <w:t>corroborates our fair value estimates. We categorize the fair value determination as Level 3 in the fair value hierarchy due to its use of internal projections and unobservable measurement inputs.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performed sensitivity analyses on the key inputs and assumptions used in determining the estimated fair value of our reporting unit by utilizing changes in assumptions that would reasonably likely occur. Assuming all other assumptions and inputs used in the fair value analysis are held constant, for the December 31, 2024 impairment test, a 100 basis point increase in the discount rate assumption, a 1x decrease in the respective EBITDA multiple assumptions, a 25 basis point decrease in the gross profit margin assumption, and a 50 basis point decrease in the revenue growth rate assumption would result in a decrease in the fair value of our reporting unit of approximately $11.6 million, $31.0 million, $7.3 million, and $5.5 million, respectively, which would likely result in further impairment. These estimated changes in fair value are not necessarily representative of the actual impairment that would be recorded in the event of a fair value decline.</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of September 30, 2025, the Company determined that there were no events or circumstances that would more likely than not reduce the fair value of the reporting unit below its carrying value. Management considered the decrease in the Company’s share price around September 30, 2025 and concluded this was primarily attributable to market reactions and higher-than normal trade volumes caused by potential dilution related to the Company’s announcement of a $100 million At the Market (“ATM”) equity offering on September 25, 2025. We believe that due to the Company’s normally low trading volume, this creates higher volatility and fluctuations in stock price, and such a decline is not considered a sustained decline as of September 30, 2025.</w:t>
      </w:r>
    </w:p>
    <w:p>
      <w:pPr>
        <w:spacing w:after="0" w:line="20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If, in future periods, the financial performance of the reporting unit does not meet forecasted expectations, or a prolonged decline occurs in the market price of our common stock, it may cause a change in the results of the impairment assessment and, as such, could result in further impairment of goodwill.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Recent Accounting Pronouncements</w:t>
      </w:r>
    </w:p>
    <w:p>
      <w:pPr>
        <w:spacing w:after="0" w:line="26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For a discussion of recent accounting pronouncements, 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to the condensed consolidated financial statements in this Quarterly Report on Form 10-Q.</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3.</w:t>
        <w:tab/>
        <w:t>Quantitative and Qualitative Disclosures about Market Risk.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four interest rate swap contracts to hedge the floating rate term loans. See </w:t>
      </w:r>
      <w:r>
        <w:rPr>
          <w:rFonts w:ascii="Arial" w:cs="Arial" w:eastAsia="Arial" w:hAnsi="Arial"/>
          <w:sz w:val="16"/>
          <w:szCs w:val="16"/>
          <w:i w:val="1"/>
          <w:iCs w:val="1"/>
          <w:color w:val="auto"/>
        </w:rPr>
        <w:t>Note 7 -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to the condensed consolidated financial statements in this Quarterly Report on Form 10-Q for additional information.</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As of September 30, 2025, our aggregate floating rate debt’s outstanding principal balance without hedging was $69.3 million, or 39.7% of total debt, consisting primarily of our revolving line of credit (see </w:t>
      </w:r>
      <w:r>
        <w:rPr>
          <w:rFonts w:ascii="Arial" w:cs="Arial" w:eastAsia="Arial" w:hAnsi="Arial"/>
          <w:sz w:val="16"/>
          <w:szCs w:val="16"/>
          <w:i w:val="1"/>
          <w:iCs w:val="1"/>
          <w:color w:val="auto"/>
        </w:rPr>
        <w:t>Note 8 - Long-Term Debt</w:t>
      </w:r>
      <w:r>
        <w:rPr>
          <w:rFonts w:ascii="Arial" w:cs="Arial" w:eastAsia="Arial" w:hAnsi="Arial"/>
          <w:sz w:val="16"/>
          <w:szCs w:val="16"/>
          <w:color w:val="auto"/>
        </w:rPr>
        <w:t xml:space="preserve"> to the condensed consolidated financial statements in this Quarterly Report on Form 10-Q). Our floating rate debt interest is based on the floating 1-month SOFR plus a predetermined credit adjustment rate plus the bank spread. The remaining 60.3% of our debt is on a fixed rate or a floating rate with hedging. In a hypothetical scenario, a 1% change in the applicable rate would cause the interest expense on our floating rate debt to change by approximately $0.7 million per year.</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Price Risk</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Additionally, elevated fuel costs can negatively impact consumer confidence and discretionary spending and thus reduce the frequency and amount spent by consumers for food-away-from-home purchases. We currently are able to obtain adequate supplies of diesel fuel, and average prices in the third quarter of 2025 increased in comparison to average prices in the same period in 2024, increasing 1.8% on average.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16"/>
          <w:szCs w:val="16"/>
          <w:color w:val="auto"/>
        </w:rPr>
        <w:t>We do not actively hedge the price fluctuation of diesel fuel in general. Instead, we seek to minimize fuel cost risk through delivery route optimization and fleet utilization improvement.</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tab/>
        <w:t>Controls and Procedures.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period covered by this report. In connection with this review and the audit of our consolidated financial statements for the year ended December 31, 2024, we identified material weaknesses as were reported previously, which continue to exist as of September 30, 2025. We did not properly design or maintain effective controls over the control environment, risk assessment, control activities, information and communication components and monitoring of the Committee of Sponsoring Organizations of the Treadway Commission in 2013.</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Based on this evaluation, our principal executive officer and principal financial and accounting officer have concluded that as a result of the material weaknesses as reported in our Annual Report on Form 10-K for the year ended December 31, 2024, our disclosure controls and procedures were not effective as of September 30, 2025. Notwithstanding the weaknesses, our management has concluded that the financial statements included elsewhere in this report present fairly, and in all material respects, our financial position, results of operation and cash flow in conformity with GAAP.</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 and Disclosure Controls</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Management remains committed to ongoing efforts to address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previously identified will continue to exist.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the three months ended September 30, 2025, management, under the oversight of the Audit Committee of the Board of Directors, continued executing its comprehensive remediation plan. The Company achieved a significant milestone in its multi-year technology transformation initiative with the full implementation of its enterprise systems across all distribution centers and the retirement of legacy applications. This modernization provides a unified platform for financial and operational processes, enabling greater consistency, automation, and standardization of control activities. In parallel, management continued to enhance documentation, training and accountability for control owners across business units and functions. These changes are expected to strengthen the Company’s IT environment and support the continued enhancement of internal controls over financial reporting. Other than these changes there were no changes in our internal control over financial reporting (as defined in Rules 13a-15(f) and 15d-15(f) under the Exchange Act)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PART II - OTHER INFORMATION</w:t>
      </w: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w:t>
        <w:tab/>
        <w:t>Legal Proceedings.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Arial" w:cs="Arial" w:eastAsia="Arial" w:hAnsi="Arial"/>
          <w:sz w:val="16"/>
          <w:szCs w:val="16"/>
          <w:i w:val="1"/>
          <w:iCs w:val="1"/>
          <w:color w:val="auto"/>
        </w:rPr>
        <w:t>Note 15 - Commitments and Contingencies</w:t>
      </w:r>
      <w:r>
        <w:rPr>
          <w:rFonts w:ascii="Arial" w:cs="Arial" w:eastAsia="Arial" w:hAnsi="Arial"/>
          <w:sz w:val="16"/>
          <w:szCs w:val="16"/>
          <w:color w:val="auto"/>
        </w:rPr>
        <w:t xml:space="preserve"> to our condensed consolidated financial statements.</w:t>
      </w:r>
    </w:p>
    <w:p>
      <w:pPr>
        <w:spacing w:after="0" w:line="308"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1A.</w:t>
        <w:tab/>
        <w:t>Risk Factors.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disclosed in Item 1A of our Annual Report on Form 10-K for the year ended December 31, 2024.</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2.</w:t>
        <w:tab/>
        <w:t>Unregistered Sales of Equity Securities and Use of Proceeds from Registered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3.</w:t>
        <w:tab/>
        <w:t>Defaults Upon Senior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tab/>
        <w:t>Mine Safety Disclosures.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5.</w:t>
        <w:tab/>
        <w:t>Other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Trading Plans of Directors and Executive Officers</w:t>
      </w:r>
    </w:p>
    <w:p>
      <w:pPr>
        <w:spacing w:after="0" w:line="113"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During the quarter ended September 30, 2025, none of our officers or directors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tabs>
          <w:tab w:leader="none" w:pos="74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incorporated herein by reference or are filed or furnished with this report as indicated below:</w:t>
      </w:r>
    </w:p>
    <w:p>
      <w:pPr>
        <w:spacing w:after="0" w:line="95" w:lineRule="exact"/>
        <w:rPr>
          <w:sz w:val="20"/>
          <w:szCs w:val="20"/>
          <w:color w:val="auto"/>
        </w:rPr>
      </w:pPr>
    </w:p>
    <w:p>
      <w:pPr>
        <w:jc w:val="right"/>
        <w:ind w:right="50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240"/>
          </w:cols>
          <w:pgMar w:left="320" w:top="895" w:right="339" w:bottom="1440" w:gutter="0" w:footer="0" w:header="0"/>
        </w:sectPr>
      </w:pPr>
    </w:p>
    <w:p>
      <w:pPr>
        <w:spacing w:after="0" w:line="54" w:lineRule="exact"/>
        <w:rPr>
          <w:sz w:val="20"/>
          <w:szCs w:val="20"/>
          <w:color w:val="auto"/>
        </w:rPr>
      </w:pPr>
    </w:p>
    <w:p>
      <w:pPr>
        <w:ind w:left="20" w:right="180"/>
        <w:spacing w:after="0" w:line="252" w:lineRule="auto"/>
        <w:rPr>
          <w:sz w:val="20"/>
          <w:szCs w:val="20"/>
          <w:color w:val="auto"/>
        </w:rPr>
      </w:pPr>
      <w:r>
        <w:rPr>
          <w:rFonts w:ascii="Arial" w:cs="Arial" w:eastAsia="Arial" w:hAnsi="Arial"/>
          <w:sz w:val="16"/>
          <w:szCs w:val="16"/>
          <w:b w:val="1"/>
          <w:bCs w:val="1"/>
          <w:color w:val="auto"/>
        </w:rPr>
        <w:t>Exhibit Number</w:t>
      </w:r>
    </w:p>
    <w:p>
      <w:pPr>
        <w:ind w:left="20"/>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3.1</w:t>
        </w:r>
      </w:hyperlink>
    </w:p>
    <w:p>
      <w:pPr>
        <w:spacing w:after="0" w:line="32" w:lineRule="exact"/>
        <w:rPr>
          <w:sz w:val="20"/>
          <w:szCs w:val="20"/>
          <w:color w:val="auto"/>
        </w:rPr>
      </w:pPr>
    </w:p>
    <w:p>
      <w:pPr>
        <w:ind w:left="20"/>
        <w:spacing w:after="0"/>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3.2</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3.3</w:t>
        </w:r>
      </w:hyperlink>
    </w:p>
    <w:p>
      <w:pPr>
        <w:spacing w:after="0" w:line="108" w:lineRule="exact"/>
        <w:rPr>
          <w:sz w:val="20"/>
          <w:szCs w:val="20"/>
          <w:color w:val="auto"/>
        </w:rPr>
      </w:pPr>
    </w:p>
    <w:p>
      <w:pPr>
        <w:ind w:left="20"/>
        <w:spacing w:after="0"/>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3.4</w:t>
        </w:r>
      </w:hyperlink>
    </w:p>
    <w:p>
      <w:pPr>
        <w:spacing w:after="0" w:line="117" w:lineRule="exact"/>
        <w:rPr>
          <w:sz w:val="20"/>
          <w:szCs w:val="20"/>
          <w:color w:val="auto"/>
        </w:rPr>
      </w:pPr>
    </w:p>
    <w:p>
      <w:pPr>
        <w:ind w:left="20"/>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4.1</w:t>
        </w:r>
      </w:hyperlink>
    </w:p>
    <w:p>
      <w:pPr>
        <w:spacing w:after="0" w:line="117" w:lineRule="exact"/>
        <w:rPr>
          <w:sz w:val="20"/>
          <w:szCs w:val="20"/>
          <w:color w:val="auto"/>
        </w:rPr>
      </w:pPr>
    </w:p>
    <w:p>
      <w:pPr>
        <w:ind w:left="20"/>
        <w:spacing w:after="0"/>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4.2</w:t>
        </w:r>
      </w:hyperlink>
    </w:p>
    <w:p>
      <w:pPr>
        <w:spacing w:after="0" w:line="117" w:lineRule="exact"/>
        <w:rPr>
          <w:sz w:val="20"/>
          <w:szCs w:val="20"/>
          <w:color w:val="auto"/>
        </w:rPr>
      </w:pPr>
    </w:p>
    <w:p>
      <w:pPr>
        <w:ind w:left="20"/>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10.1</w:t>
        </w:r>
      </w:hyperlink>
    </w:p>
    <w:p>
      <w:pPr>
        <w:spacing w:after="0" w:line="32" w:lineRule="exact"/>
        <w:rPr>
          <w:sz w:val="20"/>
          <w:szCs w:val="20"/>
          <w:color w:val="auto"/>
        </w:rPr>
      </w:pPr>
    </w:p>
    <w:p>
      <w:pPr>
        <w:ind w:left="20"/>
        <w:spacing w:after="0"/>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10.2</w:t>
        </w:r>
      </w:hyperlink>
    </w:p>
    <w:p>
      <w:pPr>
        <w:spacing w:after="0" w:line="108" w:lineRule="exact"/>
        <w:rPr>
          <w:sz w:val="20"/>
          <w:szCs w:val="20"/>
          <w:color w:val="auto"/>
        </w:rPr>
      </w:pPr>
    </w:p>
    <w:p>
      <w:pPr>
        <w:ind w:left="20"/>
        <w:spacing w:after="0"/>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10.3</w:t>
        </w:r>
      </w:hyperlink>
    </w:p>
    <w:p>
      <w:pPr>
        <w:spacing w:after="0" w:line="212" w:lineRule="exact"/>
        <w:rPr>
          <w:sz w:val="20"/>
          <w:szCs w:val="20"/>
          <w:color w:val="auto"/>
        </w:rPr>
      </w:pPr>
    </w:p>
    <w:p>
      <w:pPr>
        <w:ind w:left="20"/>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10.4</w:t>
        </w:r>
      </w:hyperlink>
    </w:p>
    <w:p>
      <w:pPr>
        <w:spacing w:after="0" w:line="212" w:lineRule="exact"/>
        <w:rPr>
          <w:sz w:val="20"/>
          <w:szCs w:val="20"/>
          <w:color w:val="auto"/>
        </w:rPr>
      </w:pPr>
    </w:p>
    <w:p>
      <w:pPr>
        <w:ind w:left="20"/>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10.5</w:t>
        </w:r>
      </w:hyperlink>
    </w:p>
    <w:p>
      <w:pPr>
        <w:spacing w:after="0" w:line="212" w:lineRule="exact"/>
        <w:rPr>
          <w:sz w:val="20"/>
          <w:szCs w:val="20"/>
          <w:color w:val="auto"/>
        </w:rPr>
      </w:pPr>
    </w:p>
    <w:p>
      <w:pPr>
        <w:ind w:left="20"/>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10.6</w:t>
        </w:r>
      </w:hyperlink>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31.1</w:t>
      </w:r>
      <w:r>
        <w:rPr>
          <w:rFonts w:ascii="Arial" w:cs="Arial" w:eastAsia="Arial" w:hAnsi="Arial"/>
          <w:sz w:val="18"/>
          <w:szCs w:val="18"/>
          <w:color w:val="000000"/>
        </w:rPr>
        <w: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31.2</w:t>
      </w:r>
      <w:r>
        <w:rPr>
          <w:rFonts w:ascii="Arial" w:cs="Arial" w:eastAsia="Arial" w:hAnsi="Arial"/>
          <w:sz w:val="18"/>
          <w:szCs w:val="18"/>
          <w:color w:val="000000"/>
        </w:rPr>
        <w: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32.1</w:t>
      </w:r>
      <w:r>
        <w:rPr>
          <w:rFonts w:ascii="Arial" w:cs="Arial" w:eastAsia="Arial" w:hAnsi="Arial"/>
          <w:sz w:val="18"/>
          <w:szCs w:val="18"/>
          <w:color w:val="000000"/>
        </w:rPr>
        <w: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32.2</w:t>
      </w:r>
      <w:r>
        <w:rPr>
          <w:rFonts w:ascii="Arial" w:cs="Arial" w:eastAsia="Arial" w:hAnsi="Arial"/>
          <w:sz w:val="18"/>
          <w:szCs w:val="18"/>
          <w:color w:val="000000"/>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101.SCH*</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19"/>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20955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Second Amended and Restated Certificate of Incorporation</w:t>
        </w:r>
      </w:hyperlink>
    </w:p>
    <w:p>
      <w:pPr>
        <w:spacing w:after="0" w:line="32" w:lineRule="exact"/>
        <w:rPr>
          <w:sz w:val="20"/>
          <w:szCs w:val="20"/>
          <w:color w:val="auto"/>
        </w:rPr>
      </w:pPr>
    </w:p>
    <w:p>
      <w:pPr>
        <w:spacing w:after="0"/>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Amended and Restated 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12065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First Amendment to Amended and Restated Bylaws, dated April 25, 2023</w:t>
        </w:r>
      </w:hyperlink>
    </w:p>
    <w:p>
      <w:pPr>
        <w:spacing w:after="0" w:line="23" w:lineRule="exact"/>
        <w:rPr>
          <w:sz w:val="20"/>
          <w:szCs w:val="20"/>
          <w:color w:val="auto"/>
        </w:rPr>
      </w:pPr>
    </w:p>
    <w:p>
      <w:pPr>
        <w:ind w:right="660"/>
        <w:spacing w:after="0" w:line="242" w:lineRule="auto"/>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Certificate of Designation of Rights, Preferences and Privileges of Series A</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Participating Preferred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Specimen Common Stock Certificate</w:t>
        </w:r>
      </w:hyperlink>
    </w:p>
    <w:p>
      <w:pPr>
        <w:spacing w:after="0" w:line="23" w:lineRule="exact"/>
        <w:rPr>
          <w:sz w:val="20"/>
          <w:szCs w:val="20"/>
          <w:color w:val="auto"/>
        </w:rPr>
      </w:pPr>
    </w:p>
    <w:p>
      <w:pPr>
        <w:ind w:right="620"/>
        <w:spacing w:after="0" w:line="242" w:lineRule="auto"/>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Form of Unit Purchase Option between the Registrant and Chardan Capital</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Markets,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-1270</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Amended and Restated HF Foods Group Inc. Severance Plan</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Form Key Executive Letter Agreement for the Severance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12065</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rPr>
          <w:rFonts w:ascii="Arial" w:cs="Arial" w:eastAsia="Arial" w:hAnsi="Arial"/>
          <w:sz w:val="18"/>
          <w:szCs w:val="18"/>
          <w:color w:val="0000FF"/>
        </w:rPr>
      </w:pPr>
      <w:hyperlink r:id="rId53">
        <w:r>
          <w:rPr>
            <w:rFonts w:ascii="Arial" w:cs="Arial" w:eastAsia="Arial" w:hAnsi="Arial"/>
            <w:sz w:val="18"/>
            <w:szCs w:val="18"/>
            <w:color w:val="0000FF"/>
          </w:rPr>
          <w:t>Sales Agreement, by and among HF Foods Group Inc., D.A. Davidson &amp; Co. and</w:t>
        </w:r>
      </w:hyperlink>
    </w:p>
    <w:p>
      <w:pPr>
        <w:spacing w:after="0" w:line="217" w:lineRule="auto"/>
        <w:rPr>
          <w:rFonts w:ascii="Arial" w:cs="Arial" w:eastAsia="Arial" w:hAnsi="Arial"/>
          <w:sz w:val="18"/>
          <w:szCs w:val="18"/>
          <w:color w:val="0000FF"/>
        </w:rPr>
      </w:pPr>
      <w:hyperlink r:id="rId53">
        <w:r>
          <w:rPr>
            <w:rFonts w:ascii="Arial" w:cs="Arial" w:eastAsia="Arial" w:hAnsi="Arial"/>
            <w:sz w:val="18"/>
            <w:szCs w:val="18"/>
            <w:u w:val="single" w:color="auto"/>
            <w:color w:val="0000FF"/>
          </w:rPr>
          <w:t>Roth Capital Partners, LLC, dated September 25, 2025.</w:t>
        </w:r>
        <w:r>
          <w:rPr>
            <w:rFonts w:ascii="Arial" w:cs="Arial" w:eastAsia="Arial" w:hAnsi="Arial"/>
            <w:sz w:val="23"/>
            <w:szCs w:val="23"/>
            <w:b w:val="1"/>
            <w:bCs w:val="1"/>
            <w:color w:val="000000"/>
            <w:vertAlign w:val="superscript"/>
          </w:rPr>
          <w:t>†</w:t>
        </w:r>
      </w:hyperlink>
    </w:p>
    <w:p>
      <w:pPr>
        <w:spacing w:after="0" w:line="1" w:lineRule="exact"/>
        <w:rPr>
          <w:sz w:val="20"/>
          <w:szCs w:val="20"/>
          <w:color w:val="auto"/>
        </w:rPr>
      </w:pPr>
    </w:p>
    <w:p>
      <w:pPr>
        <w:ind w:right="540"/>
        <w:spacing w:after="0" w:line="237" w:lineRule="auto"/>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Offer letter, dated February 6, 2025, by and between the Company and Paul</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McGarry.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-1270</wp:posOffset>
            </wp:positionV>
            <wp:extent cx="713232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42" w:lineRule="auto"/>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Amendment to Offer Letter, dated October 13, 2025, by and between the Company</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and Paul McGarry.</w:t>
        </w:r>
      </w:hyperlink>
    </w:p>
    <w:p>
      <w:pPr>
        <w:spacing w:after="0" w:line="1" w:lineRule="exact"/>
        <w:rPr>
          <w:sz w:val="20"/>
          <w:szCs w:val="20"/>
          <w:color w:val="auto"/>
        </w:rPr>
      </w:pPr>
    </w:p>
    <w:p>
      <w:pPr>
        <w:ind w:right="40"/>
        <w:spacing w:after="0" w:line="217" w:lineRule="auto"/>
        <w:rPr>
          <w:rFonts w:ascii="Arial" w:cs="Arial" w:eastAsia="Arial" w:hAnsi="Arial"/>
          <w:sz w:val="18"/>
          <w:szCs w:val="18"/>
          <w:color w:val="0000FF"/>
        </w:rPr>
      </w:pPr>
      <w:hyperlink r:id="rId56">
        <w:r>
          <w:rPr>
            <w:rFonts w:ascii="Arial" w:cs="Arial" w:eastAsia="Arial" w:hAnsi="Arial"/>
            <w:sz w:val="18"/>
            <w:szCs w:val="18"/>
            <w:u w:val="single" w:color="auto"/>
            <w:color w:val="0000FF"/>
          </w:rPr>
          <w:t>Separation Agreement, effective October 30, 2025, between HF Foods Group Inc.,</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and Cindy Yao.</w:t>
        </w:r>
        <w:r>
          <w:rPr>
            <w:rFonts w:ascii="Arial" w:cs="Arial" w:eastAsia="Arial" w:hAnsi="Arial"/>
            <w:sz w:val="23"/>
            <w:szCs w:val="23"/>
            <w:b w:val="1"/>
            <w:bCs w:val="1"/>
            <w:color w:val="000000"/>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-6985</wp:posOffset>
            </wp:positionV>
            <wp:extent cx="7132320"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140"/>
        <w:spacing w:after="0" w:line="251" w:lineRule="auto"/>
        <w:rPr>
          <w:sz w:val="20"/>
          <w:szCs w:val="20"/>
          <w:color w:val="auto"/>
        </w:rPr>
      </w:pPr>
      <w:r>
        <w:rPr>
          <w:rFonts w:ascii="Arial" w:cs="Arial" w:eastAsia="Arial" w:hAnsi="Arial"/>
          <w:sz w:val="17"/>
          <w:szCs w:val="17"/>
          <w:u w:val="single" w:color="auto"/>
          <w:color w:val="0000FF"/>
        </w:rPr>
        <w:t>Certification of Chief Executive Officer pursuant to Rule 13a-14 and Rule 15d-14(a), promulgated under the Securities and Exchange Act of 1934, as amended.</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u w:val="single" w:color="auto"/>
          <w:color w:val="0000FF"/>
        </w:rPr>
        <w:t>Certification of Chief Financial Officer pursuant to Rule 13a-14 and Rule 15d-14(a), promulgated under the Securities and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-1270</wp:posOffset>
            </wp:positionV>
            <wp:extent cx="713232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400"/>
        <w:spacing w:after="0" w:line="242" w:lineRule="auto"/>
        <w:rPr>
          <w:sz w:val="20"/>
          <w:szCs w:val="20"/>
          <w:color w:val="auto"/>
        </w:rPr>
      </w:pPr>
      <w:r>
        <w:rPr>
          <w:rFonts w:ascii="Arial" w:cs="Arial" w:eastAsia="Arial" w:hAnsi="Arial"/>
          <w:sz w:val="18"/>
          <w:szCs w:val="18"/>
          <w:u w:val="single" w:color="auto"/>
          <w:color w:val="0000FF"/>
        </w:rPr>
        <w:t>Certification of Chief Executive Officer pursuant to 18 U.S.C. Section 1350, as adopted pursuant to Section 906 of the Sarbanes-Oxley Act of 2002.</w:t>
      </w:r>
    </w:p>
    <w:p>
      <w:pPr>
        <w:spacing w:after="0" w:line="1" w:lineRule="exact"/>
        <w:rPr>
          <w:sz w:val="20"/>
          <w:szCs w:val="20"/>
          <w:color w:val="auto"/>
        </w:rPr>
      </w:pPr>
    </w:p>
    <w:p>
      <w:pPr>
        <w:ind w:right="460"/>
        <w:spacing w:after="0" w:line="242" w:lineRule="auto"/>
        <w:rPr>
          <w:sz w:val="20"/>
          <w:szCs w:val="20"/>
          <w:color w:val="auto"/>
        </w:rPr>
      </w:pPr>
      <w:r>
        <w:rPr>
          <w:rFonts w:ascii="Arial" w:cs="Arial" w:eastAsia="Arial" w:hAnsi="Arial"/>
          <w:sz w:val="18"/>
          <w:szCs w:val="18"/>
          <w:u w:val="single" w:color="auto"/>
          <w:color w:val="0000FF"/>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12065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12065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12065</wp:posOffset>
            </wp:positionV>
            <wp:extent cx="7132320"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right="520"/>
        <w:spacing w:after="0" w:line="245" w:lineRule="auto"/>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71755</wp:posOffset>
            </wp:positionV>
            <wp:extent cx="37376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1040" w:type="dxa"/>
            <w:vAlign w:val="bottom"/>
            <w:gridSpan w:val="2"/>
          </w:tcPr>
          <w:p>
            <w:pPr>
              <w:ind w:left="260"/>
              <w:spacing w:after="0"/>
              <w:rPr>
                <w:sz w:val="20"/>
                <w:szCs w:val="20"/>
                <w:color w:val="auto"/>
              </w:rPr>
            </w:pPr>
            <w:r>
              <w:rPr>
                <w:rFonts w:ascii="Arial" w:cs="Arial" w:eastAsia="Arial" w:hAnsi="Arial"/>
                <w:sz w:val="18"/>
                <w:szCs w:val="18"/>
                <w:b w:val="1"/>
                <w:bCs w:val="1"/>
                <w:color w:val="auto"/>
              </w:rPr>
              <w:t>Form</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w:t>
            </w:r>
          </w:p>
        </w:tc>
        <w:tc>
          <w:tcPr>
            <w:tcW w:w="1280" w:type="dxa"/>
            <w:vAlign w:val="bottom"/>
          </w:tcPr>
          <w:p>
            <w:pPr>
              <w:ind w:left="180"/>
              <w:spacing w:after="0"/>
              <w:rPr>
                <w:sz w:val="20"/>
                <w:szCs w:val="20"/>
                <w:color w:val="auto"/>
              </w:rPr>
            </w:pPr>
            <w:r>
              <w:rPr>
                <w:rFonts w:ascii="Arial" w:cs="Arial" w:eastAsia="Arial" w:hAnsi="Arial"/>
                <w:sz w:val="18"/>
                <w:szCs w:val="18"/>
                <w:b w:val="1"/>
                <w:bCs w:val="1"/>
                <w:color w:val="auto"/>
              </w:rPr>
              <w:t>Filing Date</w:t>
            </w:r>
          </w:p>
        </w:tc>
      </w:tr>
      <w:tr>
        <w:trPr>
          <w:trHeight w:val="224"/>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8-K</w:t>
            </w:r>
          </w:p>
        </w:tc>
        <w:tc>
          <w:tcPr>
            <w:tcW w:w="80" w:type="dxa"/>
            <w:vAlign w:val="bottom"/>
          </w:tcPr>
          <w:p>
            <w:pPr>
              <w:spacing w:after="0"/>
              <w:rPr>
                <w:sz w:val="19"/>
                <w:szCs w:val="19"/>
                <w:color w:val="auto"/>
              </w:rPr>
            </w:pPr>
          </w:p>
        </w:tc>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11/5/2019</w:t>
            </w:r>
          </w:p>
        </w:tc>
      </w:tr>
      <w:tr>
        <w:trPr>
          <w:trHeight w:val="229"/>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80" w:type="dxa"/>
            <w:vAlign w:val="bottom"/>
          </w:tcPr>
          <w:p>
            <w:pPr>
              <w:ind w:left="2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11/4/2022</w:t>
            </w:r>
          </w:p>
        </w:tc>
      </w:tr>
      <w:tr>
        <w:trPr>
          <w:trHeight w:val="239"/>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8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4/26/2023</w:t>
            </w:r>
          </w:p>
        </w:tc>
      </w:tr>
      <w:tr>
        <w:trPr>
          <w:trHeight w:val="324"/>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8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4/12/2023</w:t>
            </w:r>
          </w:p>
        </w:tc>
      </w:tr>
      <w:tr>
        <w:trPr>
          <w:trHeight w:val="324"/>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88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7/28/2017</w:t>
            </w:r>
          </w:p>
        </w:tc>
      </w:tr>
      <w:tr>
        <w:trPr>
          <w:trHeight w:val="324"/>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88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7/28/2017</w:t>
            </w:r>
          </w:p>
        </w:tc>
      </w:tr>
      <w:tr>
        <w:trPr>
          <w:trHeight w:val="315"/>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7/7/2025</w:t>
            </w:r>
          </w:p>
        </w:tc>
      </w:tr>
      <w:tr>
        <w:trPr>
          <w:trHeight w:val="239"/>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8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7/7/2025</w:t>
            </w:r>
          </w:p>
        </w:tc>
      </w:tr>
      <w:tr>
        <w:trPr>
          <w:trHeight w:val="324"/>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9/25/2025</w:t>
            </w:r>
          </w:p>
        </w:tc>
      </w:tr>
      <w:tr>
        <w:trPr>
          <w:trHeight w:val="4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10/16/2025</w:t>
            </w:r>
          </w:p>
        </w:tc>
      </w:tr>
      <w:tr>
        <w:trPr>
          <w:trHeight w:val="4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8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10/16/2025</w:t>
            </w:r>
          </w:p>
        </w:tc>
      </w:tr>
      <w:tr>
        <w:trPr>
          <w:trHeight w:val="4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11/5/2025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-2659380</wp:posOffset>
            </wp:positionV>
            <wp:extent cx="2091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740" w:lineRule="exact"/>
        <w:rPr>
          <w:sz w:val="20"/>
          <w:szCs w:val="20"/>
          <w:color w:val="auto"/>
        </w:rPr>
      </w:pPr>
    </w:p>
    <w:p>
      <w:pPr>
        <w:sectPr>
          <w:pgSz w:w="11900" w:h="16838" w:orient="portrait"/>
          <w:cols w:equalWidth="0" w:num="3">
            <w:col w:w="820" w:space="400"/>
            <w:col w:w="6600" w:space="120"/>
            <w:col w:w="3300"/>
          </w:cols>
          <w:pgMar w:left="320" w:top="895" w:right="339" w:bottom="1440" w:gutter="0" w:footer="0" w:header="0"/>
          <w:type w:val="continuous"/>
        </w:sectPr>
      </w:pPr>
    </w:p>
    <w:p>
      <w:pPr>
        <w:ind w:left="600" w:right="140" w:hanging="574"/>
        <w:spacing w:after="0" w:line="235" w:lineRule="auto"/>
        <w:tabs>
          <w:tab w:leader="none" w:pos="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portions of this exhibit have been omitted in accordance with Regulation S-K Item 601(b)(10)(iv) 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w:t>
      </w:r>
    </w:p>
    <w:p>
      <w:pPr>
        <w:spacing w:after="0" w:line="13" w:lineRule="exact"/>
        <w:rPr>
          <w:sz w:val="20"/>
          <w:szCs w:val="20"/>
          <w:color w:val="auto"/>
        </w:rPr>
      </w:pPr>
    </w:p>
    <w:p>
      <w:pPr>
        <w:ind w:left="600" w:hanging="574"/>
        <w:spacing w:after="0"/>
        <w:tabs>
          <w:tab w:leader="none" w:pos="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42" w:lineRule="exact"/>
        <w:rPr>
          <w:sz w:val="20"/>
          <w:szCs w:val="20"/>
          <w:color w:val="auto"/>
        </w:rPr>
      </w:pPr>
    </w:p>
    <w:p>
      <w:pPr>
        <w:jc w:val="both"/>
        <w:ind w:left="600" w:right="40" w:hanging="574"/>
        <w:spacing w:after="0" w:line="235" w:lineRule="auto"/>
        <w:tabs>
          <w:tab w:leader="none" w:pos="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6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HF Foods Group Inc.</w:t>
      </w:r>
    </w:p>
    <w:p>
      <w:pPr>
        <w:spacing w:after="0" w:line="19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By: /s/ Felix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20955</wp:posOffset>
            </wp:positionV>
            <wp:extent cx="41744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Felix Lin</w:t>
      </w:r>
    </w:p>
    <w:p>
      <w:pPr>
        <w:ind w:left="4680"/>
        <w:spacing w:after="0" w:line="211" w:lineRule="auto"/>
        <w:rPr>
          <w:sz w:val="20"/>
          <w:szCs w:val="20"/>
          <w:color w:val="auto"/>
        </w:rPr>
      </w:pPr>
      <w:r>
        <w:rPr>
          <w:rFonts w:ascii="Arial" w:cs="Arial" w:eastAsia="Arial" w:hAnsi="Arial"/>
          <w:sz w:val="16"/>
          <w:szCs w:val="16"/>
          <w:color w:val="auto"/>
        </w:rPr>
        <w:t>President and Chief Executive Officer</w:t>
      </w:r>
    </w:p>
    <w:p>
      <w:pPr>
        <w:ind w:left="4680"/>
        <w:spacing w:after="0"/>
        <w:rPr>
          <w:sz w:val="20"/>
          <w:szCs w:val="20"/>
          <w:color w:val="auto"/>
        </w:rPr>
      </w:pPr>
      <w:r>
        <w:rPr>
          <w:rFonts w:ascii="Arial" w:cs="Arial" w:eastAsia="Arial" w:hAnsi="Arial"/>
          <w:sz w:val="16"/>
          <w:szCs w:val="16"/>
          <w:color w:val="auto"/>
        </w:rPr>
        <w:t>(Principal Executive Officer)</w:t>
      </w:r>
    </w:p>
    <w:p>
      <w:pPr>
        <w:spacing w:after="0" w:line="7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By: /s/ Paul McGarry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20955</wp:posOffset>
            </wp:positionV>
            <wp:extent cx="41744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Paul McGarry</w:t>
      </w:r>
    </w:p>
    <w:p>
      <w:pPr>
        <w:ind w:left="4680"/>
        <w:spacing w:after="0" w:line="211" w:lineRule="auto"/>
        <w:rPr>
          <w:sz w:val="20"/>
          <w:szCs w:val="20"/>
          <w:color w:val="auto"/>
        </w:rPr>
      </w:pPr>
      <w:r>
        <w:rPr>
          <w:rFonts w:ascii="Arial" w:cs="Arial" w:eastAsia="Arial" w:hAnsi="Arial"/>
          <w:sz w:val="16"/>
          <w:szCs w:val="16"/>
          <w:color w:val="auto"/>
        </w:rPr>
        <w:t>Interim Chief Financial Officer</w:t>
      </w:r>
    </w:p>
    <w:p>
      <w:pPr>
        <w:ind w:left="4680"/>
        <w:spacing w:after="0"/>
        <w:rPr>
          <w:sz w:val="20"/>
          <w:szCs w:val="20"/>
          <w:color w:val="auto"/>
        </w:rPr>
      </w:pPr>
      <w:r>
        <w:rPr>
          <w:rFonts w:ascii="Arial" w:cs="Arial" w:eastAsia="Arial" w:hAnsi="Arial"/>
          <w:sz w:val="16"/>
          <w:szCs w:val="16"/>
          <w:color w:val="auto"/>
        </w:rPr>
        <w:t>(Principal Accounting and Financial Officer)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Date: November 10, 2025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20"/>
          </w:cols>
          <w:pgMar w:left="320" w:top="895"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Felix Lin, certify that:</w:t>
      </w:r>
    </w:p>
    <w:p>
      <w:pPr>
        <w:spacing w:after="0" w:line="225"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HF Foods Group Inc.;</w:t>
      </w:r>
    </w:p>
    <w:p>
      <w:pPr>
        <w:spacing w:after="0" w:line="225"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340" w:hanging="332"/>
        <w:spacing w:after="0" w:line="260"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8"/>
          <w:szCs w:val="18"/>
          <w:color w:val="auto"/>
        </w:rPr>
      </w:pPr>
    </w:p>
    <w:p>
      <w:pPr>
        <w:jc w:val="both"/>
        <w:ind w:left="580" w:hanging="248"/>
        <w:spacing w:after="0" w:line="268" w:lineRule="auto"/>
        <w:tabs>
          <w:tab w:leader="none" w:pos="5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580" w:hanging="248"/>
        <w:spacing w:after="0" w:line="268" w:lineRule="auto"/>
        <w:tabs>
          <w:tab w:leader="none" w:pos="5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580" w:hanging="248"/>
        <w:spacing w:after="0" w:line="268" w:lineRule="auto"/>
        <w:tabs>
          <w:tab w:leader="none" w:pos="5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80" w:hanging="248"/>
        <w:spacing w:after="0" w:line="268" w:lineRule="auto"/>
        <w:tabs>
          <w:tab w:leader="none" w:pos="5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340" w:hanging="332"/>
        <w:spacing w:after="0" w:line="268" w:lineRule="auto"/>
        <w:tabs>
          <w:tab w:leader="none" w:pos="4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80" w:hanging="248"/>
        <w:spacing w:after="0" w:line="287" w:lineRule="auto"/>
        <w:tabs>
          <w:tab w:leader="none" w:pos="5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left="580" w:hanging="248"/>
        <w:spacing w:after="0" w:line="287" w:lineRule="auto"/>
        <w:tabs>
          <w:tab w:leader="none" w:pos="5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000" w:type="dxa"/>
            <w:vAlign w:val="bottom"/>
          </w:tcPr>
          <w:p>
            <w:pPr>
              <w:spacing w:after="0"/>
              <w:rPr>
                <w:sz w:val="20"/>
                <w:szCs w:val="20"/>
                <w:color w:val="auto"/>
              </w:rPr>
            </w:pPr>
            <w:r>
              <w:rPr>
                <w:rFonts w:ascii="Arial" w:cs="Arial" w:eastAsia="Arial" w:hAnsi="Arial"/>
                <w:sz w:val="18"/>
                <w:szCs w:val="18"/>
                <w:color w:val="auto"/>
              </w:rPr>
              <w:t>Date: November 10, 2025</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Felix Lin</w:t>
            </w:r>
          </w:p>
        </w:tc>
      </w:tr>
      <w:tr>
        <w:trPr>
          <w:trHeight w:val="218"/>
        </w:trPr>
        <w:tc>
          <w:tcPr>
            <w:tcW w:w="3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Felix Lin</w:t>
            </w:r>
          </w:p>
        </w:tc>
      </w:tr>
      <w:tr>
        <w:trPr>
          <w:trHeight w:val="239"/>
        </w:trPr>
        <w:tc>
          <w:tcPr>
            <w:tcW w:w="3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Paul McGarry, certify that:</w:t>
      </w:r>
    </w:p>
    <w:p>
      <w:pPr>
        <w:spacing w:after="0" w:line="22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HF Foods Group Inc.;</w:t>
      </w:r>
    </w:p>
    <w:p>
      <w:pPr>
        <w:spacing w:after="0" w:line="225"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340" w:hanging="332"/>
        <w:spacing w:after="0" w:line="260"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8"/>
          <w:szCs w:val="18"/>
          <w:color w:val="auto"/>
        </w:rPr>
      </w:pPr>
    </w:p>
    <w:p>
      <w:pPr>
        <w:jc w:val="both"/>
        <w:ind w:left="580" w:hanging="248"/>
        <w:spacing w:after="0" w:line="268" w:lineRule="auto"/>
        <w:tabs>
          <w:tab w:leader="none" w:pos="5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580" w:hanging="248"/>
        <w:spacing w:after="0" w:line="268" w:lineRule="auto"/>
        <w:tabs>
          <w:tab w:leader="none" w:pos="5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580" w:hanging="248"/>
        <w:spacing w:after="0" w:line="268" w:lineRule="auto"/>
        <w:tabs>
          <w:tab w:leader="none" w:pos="5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80" w:hanging="248"/>
        <w:spacing w:after="0" w:line="268" w:lineRule="auto"/>
        <w:tabs>
          <w:tab w:leader="none" w:pos="5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340" w:hanging="332"/>
        <w:spacing w:after="0" w:line="268" w:lineRule="auto"/>
        <w:tabs>
          <w:tab w:leader="none" w:pos="4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80" w:hanging="248"/>
        <w:spacing w:after="0" w:line="287" w:lineRule="auto"/>
        <w:tabs>
          <w:tab w:leader="none" w:pos="5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left="580" w:hanging="248"/>
        <w:spacing w:after="0" w:line="287" w:lineRule="auto"/>
        <w:tabs>
          <w:tab w:leader="none" w:pos="5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5760" w:val="left"/>
          <w:tab w:leader="none" w:pos="6220" w:val="left"/>
        </w:tabs>
        <w:rPr>
          <w:sz w:val="20"/>
          <w:szCs w:val="20"/>
          <w:color w:val="auto"/>
        </w:rPr>
      </w:pPr>
      <w:r>
        <w:rPr>
          <w:rFonts w:ascii="Arial" w:cs="Arial" w:eastAsia="Arial" w:hAnsi="Arial"/>
          <w:sz w:val="18"/>
          <w:szCs w:val="18"/>
          <w:color w:val="auto"/>
        </w:rPr>
        <w:t>Date: November 10,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McGarry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17780</wp:posOffset>
            </wp:positionV>
            <wp:extent cx="31718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Paul McGarry</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240"/>
          </w:cols>
          <w:pgMar w:left="320" w:top="1106"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connection with the Quarterly Report on Form 10-Q of HF Foods Group Inc. (the “Company”) for the quarterly period ended September 30, 2025 as filed with the Securities and Exchange Commission on the date hereof (the “Report”), I, Felix Lin, President and Chief Executive Officer of the Company, certify, to the best of my knowledge and belief, pursuant to 18 U.S.C. § 1350, as adopted pursuant to § 906 of the Sarbanes-Oxley Act of 2002, that:</w:t>
      </w:r>
    </w:p>
    <w:p>
      <w:pPr>
        <w:spacing w:after="0" w:line="176" w:lineRule="exact"/>
        <w:rPr>
          <w:sz w:val="20"/>
          <w:szCs w:val="20"/>
          <w:color w:val="auto"/>
        </w:rPr>
      </w:pPr>
    </w:p>
    <w:p>
      <w:pPr>
        <w:ind w:left="980" w:hanging="324"/>
        <w:spacing w:after="0" w:line="287" w:lineRule="auto"/>
        <w:tabs>
          <w:tab w:leader="none" w:pos="10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52" w:lineRule="exact"/>
        <w:rPr>
          <w:rFonts w:ascii="Arial" w:cs="Arial" w:eastAsia="Arial" w:hAnsi="Arial"/>
          <w:sz w:val="18"/>
          <w:szCs w:val="18"/>
          <w:color w:val="auto"/>
        </w:rPr>
      </w:pPr>
    </w:p>
    <w:p>
      <w:pPr>
        <w:ind w:left="980" w:hanging="324"/>
        <w:spacing w:after="0" w:line="28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020" w:type="dxa"/>
            <w:vAlign w:val="bottom"/>
          </w:tcPr>
          <w:p>
            <w:pPr>
              <w:spacing w:after="0"/>
              <w:rPr>
                <w:sz w:val="20"/>
                <w:szCs w:val="20"/>
                <w:color w:val="auto"/>
              </w:rPr>
            </w:pPr>
            <w:r>
              <w:rPr>
                <w:rFonts w:ascii="Arial" w:cs="Arial" w:eastAsia="Arial" w:hAnsi="Arial"/>
                <w:sz w:val="18"/>
                <w:szCs w:val="18"/>
                <w:color w:val="auto"/>
              </w:rPr>
              <w:t>Date: November 10, 2025</w:t>
            </w:r>
          </w:p>
        </w:tc>
        <w:tc>
          <w:tcPr>
            <w:tcW w:w="8200" w:type="dxa"/>
            <w:vAlign w:val="bottom"/>
            <w:gridSpan w:val="2"/>
          </w:tcPr>
          <w:p>
            <w:pPr>
              <w:ind w:left="9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Felix Lin</w:t>
            </w:r>
          </w:p>
        </w:tc>
      </w:tr>
      <w:tr>
        <w:trPr>
          <w:trHeight w:val="218"/>
        </w:trPr>
        <w:tc>
          <w:tcPr>
            <w:tcW w:w="3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Felix Lin</w:t>
            </w:r>
          </w:p>
        </w:tc>
      </w:tr>
      <w:tr>
        <w:trPr>
          <w:trHeight w:val="239"/>
        </w:trPr>
        <w:tc>
          <w:tcPr>
            <w:tcW w:w="3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10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In connection with the Quarterly Report on Form 10-Q of HF Foods Group Inc. (the “Company”) for the quarterly period ended September 30, 2025 as filed with the Securities and Exchange Commission on the date hereof (the “Report”), I, Paul McGarry, Interim Chief Financial Officer, certify, to the best of my knowledge and belief, pursuant to 18 U.S.C. § 1350, as adopted pursuant to § 906 of the Sarbanes-Oxley Act of 2002, that:</w:t>
      </w:r>
    </w:p>
    <w:p>
      <w:pPr>
        <w:spacing w:after="0" w:line="176" w:lineRule="exact"/>
        <w:rPr>
          <w:sz w:val="20"/>
          <w:szCs w:val="20"/>
          <w:color w:val="auto"/>
        </w:rPr>
      </w:pPr>
    </w:p>
    <w:p>
      <w:pPr>
        <w:ind w:left="980" w:hanging="324"/>
        <w:spacing w:after="0" w:line="287" w:lineRule="auto"/>
        <w:tabs>
          <w:tab w:leader="none" w:pos="10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52" w:lineRule="exact"/>
        <w:rPr>
          <w:rFonts w:ascii="Arial" w:cs="Arial" w:eastAsia="Arial" w:hAnsi="Arial"/>
          <w:sz w:val="18"/>
          <w:szCs w:val="18"/>
          <w:color w:val="auto"/>
        </w:rPr>
      </w:pPr>
    </w:p>
    <w:p>
      <w:pPr>
        <w:ind w:left="980" w:hanging="324"/>
        <w:spacing w:after="0" w:line="28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72" w:lineRule="exact"/>
        <w:rPr>
          <w:sz w:val="20"/>
          <w:szCs w:val="20"/>
          <w:color w:val="auto"/>
        </w:rPr>
      </w:pPr>
    </w:p>
    <w:p>
      <w:pPr>
        <w:ind w:left="20"/>
        <w:spacing w:after="0"/>
        <w:tabs>
          <w:tab w:leader="none" w:pos="5760" w:val="left"/>
          <w:tab w:leader="none" w:pos="6220" w:val="left"/>
        </w:tabs>
        <w:rPr>
          <w:sz w:val="20"/>
          <w:szCs w:val="20"/>
          <w:color w:val="auto"/>
        </w:rPr>
      </w:pPr>
      <w:r>
        <w:rPr>
          <w:rFonts w:ascii="Arial" w:cs="Arial" w:eastAsia="Arial" w:hAnsi="Arial"/>
          <w:sz w:val="18"/>
          <w:szCs w:val="18"/>
          <w:color w:val="auto"/>
        </w:rPr>
        <w:t>Date: November 10,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McGarry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17780</wp:posOffset>
            </wp:positionV>
            <wp:extent cx="31718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Paul McGarry</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Interim Chief Financial Officer</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Roman"/>
      <w:start w:val="3"/>
    </w:lvl>
  </w:abstractNum>
  <w:abstractNum w:abstractNumId="5">
    <w:nsid w:val="1BEFD79F"/>
    <w:multiLevelType w:val="hybridMultilevel"/>
    <w:lvl w:ilvl="0">
      <w:lvlJc w:val="left"/>
      <w:lvlText w:val="(%1)"/>
      <w:numFmt w:val="lowerRoman"/>
      <w:start w:val="2"/>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Roman"/>
      <w:start w:val="2"/>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45" Type="http://schemas.openxmlformats.org/officeDocument/2006/relationships/hyperlink" Target="https://www.sec.gov/Archives/edgar/data/1680873/000143774919021487/ex_162902.htm" TargetMode="External"/><Relationship Id="rId46" Type="http://schemas.openxmlformats.org/officeDocument/2006/relationships/hyperlink" Target="https://www.sec.gov/Archives/edgar/data/1680873/000168087322000056/ex302-arbylawsxnovember2022.htm" TargetMode="External"/><Relationship Id="rId47" Type="http://schemas.openxmlformats.org/officeDocument/2006/relationships/hyperlink" Target="https://www.sec.gov/Archives/edgar/data/1680873/000168087323000016/exhibit31-bylawamendment.htm" TargetMode="External"/><Relationship Id="rId48" Type="http://schemas.openxmlformats.org/officeDocument/2006/relationships/hyperlink" Target="https://www.sec.gov/Archives/edgar/data/1680873/000119312523098200/d425223dex31.htm" TargetMode="External"/><Relationship Id="rId49" Type="http://schemas.openxmlformats.org/officeDocument/2006/relationships/hyperlink" Target="https://www.sec.gov/Archives/edgar/data/1680873/000161577417003872/s106920_ex4-2.htm" TargetMode="External"/><Relationship Id="rId50" Type="http://schemas.openxmlformats.org/officeDocument/2006/relationships/hyperlink" Target="https://www.sec.gov/Archives/edgar/data/1680873/000161577417003872/s106920_ex4-5.htm" TargetMode="External"/><Relationship Id="rId51" Type="http://schemas.openxmlformats.org/officeDocument/2006/relationships/hyperlink" Target="https://www.sec.gov/Archives/edgar/data/1680873/000162828025034429/exhibit101-20250701amend.htm" TargetMode="External"/><Relationship Id="rId52" Type="http://schemas.openxmlformats.org/officeDocument/2006/relationships/hyperlink" Target="https://www.sec.gov/Archives/edgar/data/1680873/000162828025034429/exhibit102-20250702templ.htm" TargetMode="External"/><Relationship Id="rId53" Type="http://schemas.openxmlformats.org/officeDocument/2006/relationships/hyperlink" Target="https://www.sec.gov/Archives/edgar/data/1680873/000168087325000060/exhibit101-salesagreementx.htm" TargetMode="External"/><Relationship Id="rId54" Type="http://schemas.openxmlformats.org/officeDocument/2006/relationships/hyperlink" Target="https://www.sec.gov/Archives/edgar/data/1680873/000168087325000065/exhibit101-offerletter.htm" TargetMode="External"/><Relationship Id="rId55" Type="http://schemas.openxmlformats.org/officeDocument/2006/relationships/hyperlink" Target="https://www.sec.gov/Archives/edgar/data/1680873/000168087325000065/exhibit102-amendment.htm" TargetMode="External"/><Relationship Id="rId56" Type="http://schemas.openxmlformats.org/officeDocument/2006/relationships/hyperlink" Target="https://www.sec.gov/Archives/edgar/data/1680873/000168087325000067/exhibit101-yaoseparation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2025-11-10T15:44:50Z</dcterms:created>
  <dcterms:modified xsi:type="dcterms:W3CDTF">2025-11-10T15:44:50Z</dcterms:modified>
</cp:coreProperties>
</file>