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6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__________________________________________________________________________</w:t>
      </w:r>
    </w:p>
    <w:p>
      <w:pPr>
        <w:pStyle w:val="TextBody"/>
        <w:bidi w:val="0"/>
        <w:spacing w:lineRule="auto" w:line="288" w:before="160" w:after="283"/>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(Mark one)</w:t>
      </w:r>
    </w:p>
    <w:p>
      <w:pPr>
        <w:pStyle w:val="TextBody"/>
        <w:bidi w:val="0"/>
        <w:spacing w:lineRule="auto" w:line="288" w:before="240" w:after="283"/>
        <w:jc w:val="center"/>
        <w:rPr/>
      </w:pPr>
      <w:r>
        <w:rPr>
          <w:color w:val="000000"/>
        </w:rPr>
        <w:t>☒ </w:t>
      </w:r>
      <w:r>
        <w:rPr>
          <w:rFonts w:ascii="Arial;sans-serif" w:hAnsi="Arial;sans-serif"/>
          <w:b/>
          <w:color w:val="000000"/>
          <w:sz w:val="18"/>
        </w:rPr>
        <w:t>QUARTERLY REPORT PURSUANT TO SECTION 13 OR 15(d) OF THE SECURITIES EXCHANGE ACT OF 1934</w:t>
      </w:r>
      <w:r>
        <w:rPr>
          <w:color w:val="000000"/>
        </w:rPr>
        <w:t> </w:t>
      </w:r>
    </w:p>
    <w:p>
      <w:pPr>
        <w:pStyle w:val="TextBody"/>
        <w:bidi w:val="0"/>
        <w:spacing w:lineRule="auto" w:line="288" w:before="160" w:after="283"/>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lineRule="auto" w:line="288" w:before="240" w:after="283"/>
        <w:jc w:val="center"/>
        <w:rPr/>
      </w:pPr>
      <w:r>
        <w:rPr>
          <w:color w:val="000000"/>
        </w:rPr>
        <w:t xml:space="preserve">☐ </w:t>
      </w:r>
      <w:r>
        <w:rPr>
          <w:rFonts w:ascii="Arial;sans-serif" w:hAnsi="Arial;sans-serif"/>
          <w:b/>
          <w:color w:val="000000"/>
          <w:sz w:val="18"/>
        </w:rPr>
        <w:t>TRANSITION REPORT PURSUANT TO SECTION 13 OR 15(d) OF THE SECURITIES EXCHANGE ACT OF 1934</w:t>
      </w:r>
    </w:p>
    <w:p>
      <w:pPr>
        <w:pStyle w:val="TextBody"/>
        <w:bidi w:val="0"/>
        <w:spacing w:lineRule="auto" w:line="288" w:before="160" w:after="283"/>
        <w:jc w:val="center"/>
        <w:rPr/>
      </w:pPr>
      <w:r>
        <w:rPr>
          <w:rFonts w:ascii="Arial;sans-serif" w:hAnsi="Arial;sans-serif"/>
          <w:b w:val="false"/>
          <w:color w:val="000000"/>
          <w:sz w:val="18"/>
        </w:rPr>
        <w:t xml:space="preserve">For the transition period from </w:t>
      </w:r>
      <w:r>
        <w:rPr>
          <w:rFonts w:ascii="Arial;sans-serif" w:hAnsi="Arial;sans-serif"/>
          <w:b w:val="false"/>
          <w:color w:val="000000"/>
          <w:sz w:val="12"/>
        </w:rPr>
        <w:t xml:space="preserve">_______________________ </w:t>
      </w:r>
      <w:r>
        <w:rPr>
          <w:rFonts w:ascii="Arial;sans-serif" w:hAnsi="Arial;sans-serif"/>
          <w:b w:val="false"/>
          <w:color w:val="000000"/>
          <w:sz w:val="18"/>
        </w:rPr>
        <w:t xml:space="preserve">to </w:t>
      </w:r>
      <w:r>
        <w:rPr>
          <w:rFonts w:ascii="Arial;sans-serif" w:hAnsi="Arial;sans-serif"/>
          <w:b w:val="false"/>
          <w:color w:val="000000"/>
          <w:sz w:val="12"/>
        </w:rPr>
        <w:t>_______________________</w:t>
      </w:r>
      <w:r>
        <w:rPr>
          <w:rFonts w:ascii="Arial;sans-serif" w:hAnsi="Arial;sans-serif"/>
          <w:b w:val="false"/>
          <w:color w:val="000000"/>
          <w:sz w:val="18"/>
        </w:rPr>
        <w:t>.</w:t>
      </w:r>
    </w:p>
    <w:p>
      <w:pPr>
        <w:pStyle w:val="TextBody"/>
        <w:bidi w:val="0"/>
        <w:spacing w:lineRule="auto" w:line="288" w:before="160" w:after="283"/>
        <w:jc w:val="center"/>
        <w:rPr>
          <w:rFonts w:ascii="Arial;sans-serif" w:hAnsi="Arial;sans-serif"/>
          <w:b/>
          <w:color w:val="000000"/>
          <w:sz w:val="18"/>
        </w:rPr>
      </w:pPr>
      <w:r>
        <w:rPr>
          <w:rFonts w:ascii="Arial;sans-serif" w:hAnsi="Arial;sans-serif"/>
          <w:b/>
          <w:color w:val="000000"/>
          <w:sz w:val="18"/>
        </w:rPr>
        <w:t>Commission File Number: 001-38180</w:t>
      </w:r>
    </w:p>
    <w:p>
      <w:pPr>
        <w:pStyle w:val="TextBody"/>
        <w:bidi w:val="0"/>
        <w:spacing w:lineRule="auto" w:line="288" w:before="16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__________________________________________________________________________</w:t>
      </w:r>
    </w:p>
    <w:p>
      <w:pPr>
        <w:pStyle w:val="TextBody"/>
        <w:bidi w:val="0"/>
        <w:spacing w:before="160" w:after="283"/>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bookmarkStart w:id="0" w:name="i-1"/>
      <w:bookmarkEnd w:id="0"/>
    </w:p>
    <w:p>
      <w:pPr>
        <w:pStyle w:val="TextBody"/>
        <w:bidi w:val="0"/>
        <w:spacing w:lineRule="auto" w:line="288" w:before="160" w:after="283"/>
        <w:jc w:val="center"/>
        <w:rPr>
          <w:rFonts w:ascii="Arial;sans-serif" w:hAnsi="Arial;sans-serif"/>
          <w:b/>
          <w:color w:val="000000"/>
          <w:sz w:val="24"/>
        </w:rPr>
      </w:pPr>
      <w:r>
        <w:rPr>
          <w:rFonts w:ascii="Arial;sans-serif" w:hAnsi="Arial;sans-serif"/>
          <w:b/>
          <w:color w:val="000000"/>
          <w:sz w:val="24"/>
        </w:rPr>
        <w:t>HF FOODS GROUP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7800" w:type="dxa"/>
        <w:jc w:val="left"/>
        <w:tblInd w:w="0" w:type="dxa"/>
        <w:tblLayout w:type="fixed"/>
        <w:tblCellMar>
          <w:top w:w="28" w:type="dxa"/>
          <w:left w:w="28" w:type="dxa"/>
          <w:bottom w:w="28" w:type="dxa"/>
          <w:right w:w="28" w:type="dxa"/>
        </w:tblCellMar>
      </w:tblPr>
      <w:tblGrid>
        <w:gridCol w:w="1760"/>
        <w:gridCol w:w="1546"/>
        <w:gridCol w:w="1554"/>
        <w:gridCol w:w="860"/>
        <w:gridCol w:w="860"/>
        <w:gridCol w:w="1220"/>
      </w:tblGrid>
      <w:tr>
        <w:trP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7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6325 South Rainbow Boulevard, Suite 420, Las Vegas, NV 89118</w:t>
            </w:r>
          </w:p>
        </w:tc>
      </w:tr>
      <w:tr>
        <w:trPr/>
        <w:tc>
          <w:tcPr>
            <w:tcW w:w="78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(888) 905-0998</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323" w:type="dxa"/>
        <w:jc w:val="left"/>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Preferred Share Purchase Rights</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Capital Market</w:t>
            </w:r>
          </w:p>
        </w:tc>
      </w:tr>
    </w:tbl>
    <w:p>
      <w:pPr>
        <w:pStyle w:val="TextBody"/>
        <w:bidi w:val="0"/>
        <w:spacing w:lineRule="auto" w:line="288" w:before="20" w:after="283"/>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6" w:type="dxa"/>
        <w:jc w:val="left"/>
        <w:tblInd w:w="0" w:type="dxa"/>
        <w:tblLayout w:type="fixed"/>
        <w:tblCellMar>
          <w:top w:w="28" w:type="dxa"/>
          <w:left w:w="28" w:type="dxa"/>
          <w:bottom w:w="28" w:type="dxa"/>
          <w:right w:w="28" w:type="dxa"/>
        </w:tblCellMar>
      </w:tblPr>
      <w:tblGrid>
        <w:gridCol w:w="705"/>
        <w:gridCol w:w="620"/>
        <w:gridCol w:w="624"/>
        <w:gridCol w:w="125"/>
        <w:gridCol w:w="125"/>
        <w:gridCol w:w="126"/>
        <w:gridCol w:w="769"/>
        <w:gridCol w:w="769"/>
        <w:gridCol w:w="772"/>
        <w:gridCol w:w="123"/>
        <w:gridCol w:w="123"/>
        <w:gridCol w:w="175"/>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160" w:after="283"/>
        <w:jc w:val="left"/>
        <w:rPr/>
      </w:pPr>
      <w:r>
        <w:rPr>
          <w:rFonts w:ascii="Arial;sans-serif" w:hAnsi="Arial;sans-serif"/>
          <w:b w:val="false"/>
          <w:color w:val="000000"/>
          <w:sz w:val="18"/>
        </w:rPr>
        <w:t>As of August 5, 2026, the registrant had</w:t>
      </w:r>
      <w:r>
        <w:rPr>
          <w:color w:val="E31937"/>
        </w:rPr>
        <w:t xml:space="preserve"> </w:t>
      </w:r>
      <w:r>
        <w:rPr>
          <w:rFonts w:ascii="Arial;sans-serif" w:hAnsi="Arial;sans-serif"/>
          <w:b w:val="false"/>
          <w:color w:val="000000"/>
          <w:sz w:val="18"/>
        </w:rPr>
        <w:t>53,900,945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10-Q for the Quarter Ended June 30, 2026</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9614" w:type="dxa"/>
        <w:jc w:val="left"/>
        <w:tblInd w:w="0" w:type="dxa"/>
        <w:tblLayout w:type="fixed"/>
        <w:tblCellMar>
          <w:top w:w="28" w:type="dxa"/>
          <w:left w:w="28" w:type="dxa"/>
          <w:bottom w:w="28" w:type="dxa"/>
          <w:right w:w="28" w:type="dxa"/>
        </w:tblCellMar>
      </w:tblPr>
      <w:tblGrid>
        <w:gridCol w:w="286"/>
        <w:gridCol w:w="252"/>
        <w:gridCol w:w="256"/>
        <w:gridCol w:w="2738"/>
        <w:gridCol w:w="2738"/>
        <w:gridCol w:w="2758"/>
        <w:gridCol w:w="171"/>
        <w:gridCol w:w="171"/>
        <w:gridCol w:w="244"/>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0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Page</w:t>
            </w:r>
          </w:p>
        </w:tc>
      </w:tr>
      <w:tr>
        <w:trPr/>
        <w:tc>
          <w:tcPr>
            <w:tcW w:w="90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0">
              <w:r>
                <w:rPr>
                  <w:rStyle w:val="InternetLink"/>
                  <w:rFonts w:ascii="Arial;sans-serif" w:hAnsi="Arial;sans-serif"/>
                  <w:b/>
                  <w:strike w:val="false"/>
                  <w:dstrike w:val="false"/>
                  <w:color w:val="000000"/>
                  <w:sz w:val="18"/>
                  <w:u w:val="none"/>
                  <w:effect w:val="none"/>
                </w:rPr>
                <w:t>FINANCIAL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3">
              <w:r>
                <w:rPr>
                  <w:rStyle w:val="InternetLink"/>
                  <w:rFonts w:ascii="Arial;sans-serif" w:hAnsi="Arial;sans-serif"/>
                  <w:b w:val="false"/>
                  <w:strike w:val="false"/>
                  <w:dstrike w:val="false"/>
                  <w:color w:val="000000"/>
                  <w:sz w:val="18"/>
                  <w:u w:val="none"/>
                  <w:effect w:val="none"/>
                </w:rPr>
                <w:t>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3">
              <w:r>
                <w:rPr>
                  <w:rStyle w:val="InternetLink"/>
                  <w:rFonts w:ascii="Arial;sans-serif" w:hAnsi="Arial;sans-serif"/>
                  <w:b w:val="false"/>
                  <w:strike w:val="false"/>
                  <w:dstrike w:val="false"/>
                  <w:color w:val="000000"/>
                  <w:sz w:val="18"/>
                  <w:u w:val="none"/>
                  <w:effect w:val="none"/>
                </w:rPr>
                <w:t>1</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6">
              <w:r>
                <w:rPr>
                  <w:rStyle w:val="InternetLink"/>
                  <w:rFonts w:ascii="Arial;sans-serif" w:hAnsi="Arial;sans-serif"/>
                  <w:b w:val="false"/>
                  <w:strike w:val="false"/>
                  <w:dstrike w:val="false"/>
                  <w:color w:val="000000"/>
                  <w:sz w:val="18"/>
                  <w:u w:val="none"/>
                  <w:effect w:val="none"/>
                </w:rPr>
                <w:t>Condensed Consolidated Balance Sheets (Unaudited)</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6">
              <w:r>
                <w:rPr>
                  <w:rStyle w:val="InternetLink"/>
                  <w:rFonts w:ascii="Arial;sans-serif" w:hAnsi="Arial;sans-serif"/>
                  <w:b w:val="false"/>
                  <w:strike w:val="false"/>
                  <w:dstrike w:val="false"/>
                  <w:color w:val="000000"/>
                  <w:sz w:val="18"/>
                  <w:u w:val="none"/>
                  <w:effect w:val="none"/>
                </w:rPr>
                <w:t>1</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22">
              <w:r>
                <w:rPr>
                  <w:rStyle w:val="InternetLink"/>
                  <w:rFonts w:ascii="Arial;sans-serif" w:hAnsi="Arial;sans-serif"/>
                  <w:b w:val="false"/>
                  <w:strike w:val="false"/>
                  <w:dstrike w:val="false"/>
                  <w:color w:val="000000"/>
                  <w:sz w:val="18"/>
                  <w:u w:val="none"/>
                  <w:effect w:val="none"/>
                </w:rPr>
                <w:t>Condensed Consolidated Statements of Operations and Comprehensive Income (Loss)</w:t>
              </w:r>
            </w:hyperlink>
            <w:r>
              <w:rPr>
                <w:rFonts w:ascii="Arial;sans-serif" w:hAnsi="Arial;sans-serif"/>
                <w:b w:val="false"/>
                <w:color w:val="000000"/>
                <w:sz w:val="18"/>
              </w:rPr>
              <w:t xml:space="preserve"> </w:t>
            </w:r>
            <w:hyperlink w:anchor="ie462387c82ee43598134d71a69eda403_229">
              <w:r>
                <w:rPr>
                  <w:rStyle w:val="InternetLink"/>
                  <w:rFonts w:ascii="Arial;sans-serif" w:hAnsi="Arial;sans-serif"/>
                  <w:b w:val="false"/>
                  <w:strike w:val="false"/>
                  <w:dstrike w:val="false"/>
                  <w:color w:val="000000"/>
                  <w:sz w:val="18"/>
                  <w:u w:val="none"/>
                  <w:effect w:val="none"/>
                </w:rPr>
                <w:t>(Unaudited)</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22">
              <w:r>
                <w:rPr>
                  <w:rStyle w:val="InternetLink"/>
                  <w:rFonts w:ascii="Arial;sans-serif" w:hAnsi="Arial;sans-serif"/>
                  <w:b w:val="false"/>
                  <w:strike w:val="false"/>
                  <w:dstrike w:val="false"/>
                  <w:color w:val="000000"/>
                  <w:sz w:val="18"/>
                  <w:u w:val="none"/>
                  <w:effect w:val="none"/>
                </w:rPr>
                <w:t>2</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25">
              <w:r>
                <w:rPr>
                  <w:rStyle w:val="InternetLink"/>
                  <w:rFonts w:ascii="Arial;sans-serif" w:hAnsi="Arial;sans-serif"/>
                  <w:b w:val="false"/>
                  <w:strike w:val="false"/>
                  <w:dstrike w:val="false"/>
                  <w:color w:val="000000"/>
                  <w:sz w:val="18"/>
                  <w:u w:val="none"/>
                  <w:effect w:val="none"/>
                </w:rPr>
                <w:t>Condensed Consolidated Statements of Cash Flows (Unaudited)</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25">
              <w:r>
                <w:rPr>
                  <w:rStyle w:val="InternetLink"/>
                  <w:rFonts w:ascii="Arial;sans-serif" w:hAnsi="Arial;sans-serif"/>
                  <w:b w:val="false"/>
                  <w:strike w:val="false"/>
                  <w:dstrike w:val="false"/>
                  <w:color w:val="000000"/>
                  <w:sz w:val="18"/>
                  <w:u w:val="none"/>
                  <w:effect w:val="none"/>
                </w:rPr>
                <w:t>3</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28">
              <w:r>
                <w:rPr>
                  <w:rStyle w:val="InternetLink"/>
                  <w:rFonts w:ascii="Arial;sans-serif" w:hAnsi="Arial;sans-serif"/>
                  <w:b w:val="false"/>
                  <w:strike w:val="false"/>
                  <w:dstrike w:val="false"/>
                  <w:color w:val="000000"/>
                  <w:sz w:val="18"/>
                  <w:u w:val="none"/>
                  <w:effect w:val="none"/>
                </w:rPr>
                <w:t>Condensed Consolidated Statements of Changes in Shareholders’ Equity (Unaudited)</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28">
              <w:r>
                <w:rPr>
                  <w:rStyle w:val="InternetLink"/>
                  <w:rFonts w:ascii="Arial;sans-serif" w:hAnsi="Arial;sans-serif"/>
                  <w:b w:val="false"/>
                  <w:strike w:val="false"/>
                  <w:dstrike w:val="false"/>
                  <w:color w:val="000000"/>
                  <w:sz w:val="18"/>
                  <w:u w:val="none"/>
                  <w:effect w:val="none"/>
                </w:rPr>
                <w:t>4</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31">
              <w:r>
                <w:rPr>
                  <w:rStyle w:val="InternetLink"/>
                  <w:rFonts w:ascii="Arial;sans-serif" w:hAnsi="Arial;sans-serif"/>
                  <w:b w:val="false"/>
                  <w:strike w:val="false"/>
                  <w:dstrike w:val="false"/>
                  <w:color w:val="000000"/>
                  <w:sz w:val="18"/>
                  <w:u w:val="none"/>
                  <w:effect w:val="none"/>
                </w:rPr>
                <w:t>Notes to Unaudited Condensed Consolidated Financial Statements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31">
              <w:r>
                <w:rPr>
                  <w:rStyle w:val="InternetLink"/>
                  <w:rFonts w:ascii="Arial;sans-serif" w:hAnsi="Arial;sans-serif"/>
                  <w:b w:val="false"/>
                  <w:strike w:val="false"/>
                  <w:dstrike w:val="false"/>
                  <w:color w:val="000000"/>
                  <w:sz w:val="18"/>
                  <w:u w:val="none"/>
                  <w:effect w:val="none"/>
                </w:rPr>
                <w:t>5</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54">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54">
              <w:r>
                <w:rPr>
                  <w:rStyle w:val="InternetLink"/>
                  <w:rFonts w:ascii="Arial;sans-serif" w:hAnsi="Arial;sans-serif"/>
                  <w:b w:val="false"/>
                  <w:strike w:val="false"/>
                  <w:dstrike w:val="false"/>
                  <w:color w:val="000000"/>
                  <w:sz w:val="18"/>
                  <w:u w:val="none"/>
                  <w:effect w:val="none"/>
                </w:rPr>
                <w:t>21</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Q</w:t>
            </w:r>
            <w:hyperlink w:anchor="ie462387c82ee43598134d71a69eda403_178">
              <w:r>
                <w:rPr>
                  <w:rStyle w:val="InternetLink"/>
                  <w:rFonts w:ascii="Arial;sans-serif" w:hAnsi="Arial;sans-serif"/>
                  <w:b w:val="false"/>
                  <w:strike w:val="false"/>
                  <w:dstrike w:val="false"/>
                  <w:color w:val="000000"/>
                  <w:sz w:val="18"/>
                  <w:u w:val="none"/>
                  <w:effect w:val="none"/>
                </w:rPr>
                <w:t>uantitative and Qualitative Disclosures about Market Risk</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78">
              <w:r>
                <w:rPr>
                  <w:rStyle w:val="InternetLink"/>
                  <w:rFonts w:ascii="Arial;sans-serif" w:hAnsi="Arial;sans-serif"/>
                  <w:b w:val="false"/>
                  <w:strike w:val="false"/>
                  <w:dstrike w:val="false"/>
                  <w:color w:val="000000"/>
                  <w:sz w:val="18"/>
                  <w:u w:val="none"/>
                  <w:effect w:val="none"/>
                </w:rPr>
                <w:t>29</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81">
              <w:r>
                <w:rPr>
                  <w:rStyle w:val="InternetLink"/>
                  <w:rFonts w:ascii="Arial;sans-serif" w:hAnsi="Arial;sans-serif"/>
                  <w:b w:val="false"/>
                  <w:strike w:val="false"/>
                  <w:dstrike w:val="false"/>
                  <w:color w:val="000000"/>
                  <w:sz w:val="18"/>
                  <w:u w:val="none"/>
                  <w:effect w:val="none"/>
                </w:rPr>
                <w:t>Controls and Procedures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81">
              <w:r>
                <w:rPr>
                  <w:rStyle w:val="InternetLink"/>
                  <w:rFonts w:ascii="Arial;sans-serif" w:hAnsi="Arial;sans-serif"/>
                  <w:b w:val="false"/>
                  <w:strike w:val="false"/>
                  <w:dstrike w:val="false"/>
                  <w:color w:val="000000"/>
                  <w:sz w:val="18"/>
                  <w:u w:val="none"/>
                  <w:effect w:val="none"/>
                </w:rPr>
                <w:t>29</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84">
              <w:r>
                <w:rPr>
                  <w:rStyle w:val="InternetLink"/>
                  <w:rFonts w:ascii="Arial;sans-serif" w:hAnsi="Arial;sans-serif"/>
                  <w:b/>
                  <w:strike w:val="false"/>
                  <w:dstrike w:val="false"/>
                  <w:color w:val="000000"/>
                  <w:sz w:val="18"/>
                  <w:u w:val="none"/>
                  <w:effect w:val="none"/>
                </w:rPr>
                <w:t>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w:t>
            </w:r>
            <w:hyperlink w:anchor="ie462387c82ee43598134d71a69eda403_187">
              <w:r>
                <w:rPr>
                  <w:rStyle w:val="InternetLink"/>
                  <w:rFonts w:ascii="Arial;sans-serif" w:hAnsi="Arial;sans-serif"/>
                  <w:b w:val="false"/>
                  <w:strike w:val="false"/>
                  <w:dstrike w:val="false"/>
                  <w:color w:val="000000"/>
                  <w:sz w:val="18"/>
                  <w:u w:val="none"/>
                  <w:effect w:val="none"/>
                </w:rPr>
                <w:t>egal Proceedings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87">
              <w:r>
                <w:rPr>
                  <w:rStyle w:val="InternetLink"/>
                  <w:rFonts w:ascii="Arial;sans-serif" w:hAnsi="Arial;sans-serif"/>
                  <w:b w:val="false"/>
                  <w:strike w:val="false"/>
                  <w:dstrike w:val="false"/>
                  <w:color w:val="000000"/>
                  <w:sz w:val="18"/>
                  <w:u w:val="none"/>
                  <w:effect w:val="none"/>
                </w:rPr>
                <w:t>31</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90">
              <w:r>
                <w:rPr>
                  <w:rStyle w:val="InternetLink"/>
                  <w:rFonts w:ascii="Arial;sans-serif" w:hAnsi="Arial;sans-serif"/>
                  <w:b w:val="false"/>
                  <w:strike w:val="false"/>
                  <w:dstrike w:val="false"/>
                  <w:color w:val="000000"/>
                  <w:sz w:val="18"/>
                  <w:u w:val="none"/>
                  <w:effect w:val="none"/>
                </w:rPr>
                <w:t>Risk Factors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90">
              <w:r>
                <w:rPr>
                  <w:rStyle w:val="InternetLink"/>
                  <w:rFonts w:ascii="Arial;sans-serif" w:hAnsi="Arial;sans-serif"/>
                  <w:b w:val="false"/>
                  <w:strike w:val="false"/>
                  <w:dstrike w:val="false"/>
                  <w:color w:val="000000"/>
                  <w:sz w:val="18"/>
                  <w:u w:val="none"/>
                  <w:effect w:val="none"/>
                </w:rPr>
                <w:t>31</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93">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93">
              <w:r>
                <w:rPr>
                  <w:rStyle w:val="InternetLink"/>
                  <w:rFonts w:ascii="Arial;sans-serif" w:hAnsi="Arial;sans-serif"/>
                  <w:b w:val="false"/>
                  <w:strike w:val="false"/>
                  <w:dstrike w:val="false"/>
                  <w:color w:val="000000"/>
                  <w:sz w:val="18"/>
                  <w:u w:val="none"/>
                  <w:effect w:val="none"/>
                </w:rPr>
                <w:t>31</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96">
              <w:r>
                <w:rPr>
                  <w:rStyle w:val="InternetLink"/>
                  <w:rFonts w:ascii="Arial;sans-serif" w:hAnsi="Arial;sans-serif"/>
                  <w:b w:val="false"/>
                  <w:strike w:val="false"/>
                  <w:dstrike w:val="false"/>
                  <w:color w:val="000000"/>
                  <w:sz w:val="18"/>
                  <w:u w:val="none"/>
                  <w:effect w:val="none"/>
                </w:rPr>
                <w:t>Defaults Upon Senior Securities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96">
              <w:r>
                <w:rPr>
                  <w:rStyle w:val="InternetLink"/>
                  <w:rFonts w:ascii="Arial;sans-serif" w:hAnsi="Arial;sans-serif"/>
                  <w:b w:val="false"/>
                  <w:strike w:val="false"/>
                  <w:dstrike w:val="false"/>
                  <w:color w:val="000000"/>
                  <w:sz w:val="18"/>
                  <w:u w:val="none"/>
                  <w:effect w:val="none"/>
                </w:rPr>
                <w:t>31</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199">
              <w:r>
                <w:rPr>
                  <w:rStyle w:val="InternetLink"/>
                  <w:rFonts w:ascii="Arial;sans-serif" w:hAnsi="Arial;sans-serif"/>
                  <w:b w:val="false"/>
                  <w:strike w:val="false"/>
                  <w:dstrike w:val="false"/>
                  <w:color w:val="000000"/>
                  <w:sz w:val="18"/>
                  <w:u w:val="none"/>
                  <w:effect w:val="none"/>
                </w:rPr>
                <w:t>Mine Safety Disclosures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199">
              <w:r>
                <w:rPr>
                  <w:rStyle w:val="InternetLink"/>
                  <w:rFonts w:ascii="Arial;sans-serif" w:hAnsi="Arial;sans-serif"/>
                  <w:b w:val="false"/>
                  <w:strike w:val="false"/>
                  <w:dstrike w:val="false"/>
                  <w:color w:val="000000"/>
                  <w:sz w:val="18"/>
                  <w:u w:val="none"/>
                  <w:effect w:val="none"/>
                </w:rPr>
                <w:t>31</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202">
              <w:r>
                <w:rPr>
                  <w:rStyle w:val="InternetLink"/>
                  <w:rFonts w:ascii="Arial;sans-serif" w:hAnsi="Arial;sans-serif"/>
                  <w:b w:val="false"/>
                  <w:strike w:val="false"/>
                  <w:dstrike w:val="false"/>
                  <w:color w:val="000000"/>
                  <w:sz w:val="18"/>
                  <w:u w:val="none"/>
                  <w:effect w:val="none"/>
                </w:rPr>
                <w:t>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202">
              <w:r>
                <w:rPr>
                  <w:rStyle w:val="InternetLink"/>
                  <w:rFonts w:ascii="Arial;sans-serif" w:hAnsi="Arial;sans-serif"/>
                  <w:b w:val="false"/>
                  <w:strike w:val="false"/>
                  <w:dstrike w:val="false"/>
                  <w:color w:val="000000"/>
                  <w:sz w:val="18"/>
                  <w:u w:val="none"/>
                  <w:effect w:val="none"/>
                </w:rPr>
                <w:t>31</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205">
              <w:r>
                <w:rPr>
                  <w:rStyle w:val="InternetLink"/>
                  <w:rFonts w:ascii="Arial;sans-serif" w:hAnsi="Arial;sans-serif"/>
                  <w:b w:val="false"/>
                  <w:strike w:val="false"/>
                  <w:dstrike w:val="false"/>
                  <w:color w:val="000000"/>
                  <w:sz w:val="18"/>
                  <w:u w:val="none"/>
                  <w:effect w:val="none"/>
                </w:rPr>
                <w:t>Exhibits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205">
              <w:r>
                <w:rPr>
                  <w:rStyle w:val="InternetLink"/>
                  <w:rFonts w:ascii="Arial;sans-serif" w:hAnsi="Arial;sans-serif"/>
                  <w:b w:val="false"/>
                  <w:strike w:val="false"/>
                  <w:dstrike w:val="false"/>
                  <w:color w:val="000000"/>
                  <w:sz w:val="18"/>
                  <w:u w:val="none"/>
                  <w:effect w:val="none"/>
                </w:rPr>
                <w:t>32</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462387c82ee43598134d71a69eda403_208">
              <w:r>
                <w:rPr>
                  <w:rStyle w:val="InternetLink"/>
                  <w:rFonts w:ascii="Arial;sans-serif" w:hAnsi="Arial;sans-serif"/>
                  <w:b/>
                  <w:strike w:val="false"/>
                  <w:dstrike w:val="false"/>
                  <w:color w:val="000000"/>
                  <w:sz w:val="18"/>
                  <w:u w:val="none"/>
                  <w:effect w:val="none"/>
                </w:rPr>
                <w:t>SIGNATURE PAGE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462387c82ee43598134d71a69eda403_208">
              <w:r>
                <w:rPr>
                  <w:rStyle w:val="InternetLink"/>
                  <w:rFonts w:ascii="Arial;sans-serif" w:hAnsi="Arial;sans-serif"/>
                  <w:b w:val="false"/>
                  <w:strike w:val="false"/>
                  <w:dstrike w:val="false"/>
                  <w:color w:val="000000"/>
                  <w:sz w:val="18"/>
                  <w:u w:val="none"/>
                  <w:effect w:val="none"/>
                </w:rPr>
                <w:t>33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Arial;sans-serif" w:hAnsi="Arial;sans-serif"/>
          <w:b/>
          <w:color w:val="000000"/>
          <w:sz w:val="18"/>
        </w:rPr>
      </w:pPr>
      <w:r>
        <w:rPr>
          <w:rFonts w:ascii="Arial;sans-serif" w:hAnsi="Arial;sans-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910"/>
        <w:gridCol w:w="2167"/>
        <w:gridCol w:w="2183"/>
        <w:gridCol w:w="218"/>
        <w:gridCol w:w="872"/>
        <w:gridCol w:w="113"/>
        <w:gridCol w:w="109"/>
        <w:gridCol w:w="109"/>
        <w:gridCol w:w="109"/>
        <w:gridCol w:w="246"/>
        <w:gridCol w:w="984"/>
        <w:gridCol w:w="185"/>
      </w:tblGrid>
      <w:tr>
        <w:trPr/>
        <w:tc>
          <w:tcPr>
            <w:tcW w:w="291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allowances of $1,087 and $1,199</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related parties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205,208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194,000</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 net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 trade names and other intangibles, net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556,596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541,529</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Checks issued not presented for payment</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Line of credit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related parties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net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finance leases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operating leases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184,478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164,768</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current portion</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finance leases, non-current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operating leases, non-current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348,778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337,943</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COMMITMENTS AND CONTINGENCIES (Note 15)</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A Participating Preferred Stock, par value $0.001; 100,000 shares authorized, no shares issued and outstanding</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AA Participating Preferred Stock, par value $0.001; 100,000 shares authorized, no shares issued and outstanding</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1,000,000 shares authorized; no shares issued and outstanding</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$0.0001 par value; 100,000,000 shares authorized; 55,472,840 and 55,041,255 shares issued and 53,900,945 and 53,043,832 shares outstanding as of June 30, 2026 and December 31, 2025, respectively </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(included in common stock issued above), at cost; 1,571,895 shares as of June 30, 2026 and 1,997,423 as of December 31, 2025</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605,102 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(392,237)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(396,042)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 ATTRIBUTABLE TO HF FOODS GROUP INC.</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206,771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202,051</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207,818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203,586</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556,596</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541,529</w:t>
            </w: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1030"/>
                <wp:effectExtent l="0" t="0" r="0" b="0"/>
                <wp:wrapNone/>
                <wp:docPr id="5" name="Frame4"/>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 and Comprehensive Income (Loss)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92"/>
        <w:gridCol w:w="1120"/>
        <w:gridCol w:w="1128"/>
        <w:gridCol w:w="223"/>
        <w:gridCol w:w="873"/>
        <w:gridCol w:w="109"/>
        <w:gridCol w:w="109"/>
        <w:gridCol w:w="109"/>
        <w:gridCol w:w="109"/>
        <w:gridCol w:w="223"/>
        <w:gridCol w:w="873"/>
        <w:gridCol w:w="109"/>
        <w:gridCol w:w="109"/>
        <w:gridCol w:w="109"/>
        <w:gridCol w:w="109"/>
        <w:gridCol w:w="223"/>
        <w:gridCol w:w="873"/>
        <w:gridCol w:w="109"/>
        <w:gridCol w:w="109"/>
        <w:gridCol w:w="109"/>
        <w:gridCol w:w="109"/>
        <w:gridCol w:w="223"/>
        <w:gridCol w:w="873"/>
        <w:gridCol w:w="109"/>
        <w:gridCol w:w="109"/>
        <w:gridCol w:w="155"/>
      </w:tblGrid>
      <w:tr>
        <w:trPr/>
        <w:tc>
          <w:tcPr>
            <w:tcW w:w="18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 - third parties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 - related parties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REVENUE</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323,781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635,783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613,281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third parties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related parties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COST OF REVENUE</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268,733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259,721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530,209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507,190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105,574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106,091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FROM OPERATIONS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BEFORE INCOME TAXES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AND COMPREHENSIVE INCOME (LOSS)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AND COMPREHENSIVE INCOME (LOSS) ATTRIBUTABLE TO HF FOODS GROUP INC.</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COMMON SHARE - 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COMMON SHARE - DILUTED</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 BASIC</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53,429,826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52,969,037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53,242,757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52,853,982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 DILUTED</w:t>
            </w:r>
          </w:p>
        </w:tc>
        <w:tc>
          <w:tcPr>
            <w:tcW w:w="10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53,890,411</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53,414,715</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53,710,401</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52,853,982</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1030"/>
                <wp:effectExtent l="0" t="0" r="0" b="0"/>
                <wp:wrapNone/>
                <wp:docPr id="6" name="Frame5"/>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717"/>
        <w:gridCol w:w="2384"/>
        <w:gridCol w:w="2400"/>
        <w:gridCol w:w="211"/>
        <w:gridCol w:w="736"/>
        <w:gridCol w:w="109"/>
        <w:gridCol w:w="109"/>
        <w:gridCol w:w="109"/>
        <w:gridCol w:w="109"/>
        <w:gridCol w:w="211"/>
        <w:gridCol w:w="736"/>
        <w:gridCol w:w="109"/>
        <w:gridCol w:w="109"/>
        <w:gridCol w:w="156"/>
      </w:tblGrid>
      <w:tr>
        <w:trPr/>
        <w:tc>
          <w:tcPr>
            <w:tcW w:w="2717"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Adjustments to reconcile net income (loss)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from disposal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Credit for expected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non-cash expense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 related parties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Checks issued not presented for payment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 related parties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10,468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(16,071)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Payments for tax withholding related to vested stock awards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line of credit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(628,237)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issuance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long-term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 of debt financing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obligations under finance leases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at-the-market equity offering share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Acquisition of 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11,503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(2,693)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increase in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9,463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beginning of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18,104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 of cash flow data:</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Cash paid for income taxes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 of 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acquired in exchange for finance leases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1030"/>
                <wp:effectExtent l="0" t="0" r="0" b="0"/>
                <wp:wrapNone/>
                <wp:docPr id="7" name="Frame6"/>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Changes in Shareholders'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808" w:type="dxa"/>
        <w:jc w:val="center"/>
        <w:tblInd w:w="0" w:type="dxa"/>
        <w:tblLayout w:type="fixed"/>
        <w:tblCellMar>
          <w:top w:w="28" w:type="dxa"/>
          <w:left w:w="28" w:type="dxa"/>
          <w:bottom w:w="28" w:type="dxa"/>
          <w:right w:w="28" w:type="dxa"/>
        </w:tblCellMar>
      </w:tblPr>
      <w:tblGrid>
        <w:gridCol w:w="767"/>
        <w:gridCol w:w="239"/>
        <w:gridCol w:w="240"/>
        <w:gridCol w:w="488"/>
        <w:gridCol w:w="488"/>
        <w:gridCol w:w="216"/>
        <w:gridCol w:w="109"/>
        <w:gridCol w:w="109"/>
        <w:gridCol w:w="109"/>
        <w:gridCol w:w="262"/>
        <w:gridCol w:w="342"/>
        <w:gridCol w:w="147"/>
        <w:gridCol w:w="109"/>
        <w:gridCol w:w="109"/>
        <w:gridCol w:w="109"/>
        <w:gridCol w:w="443"/>
        <w:gridCol w:w="443"/>
        <w:gridCol w:w="216"/>
        <w:gridCol w:w="109"/>
        <w:gridCol w:w="109"/>
        <w:gridCol w:w="109"/>
        <w:gridCol w:w="196"/>
        <w:gridCol w:w="571"/>
        <w:gridCol w:w="109"/>
        <w:gridCol w:w="109"/>
        <w:gridCol w:w="109"/>
        <w:gridCol w:w="109"/>
        <w:gridCol w:w="196"/>
        <w:gridCol w:w="751"/>
        <w:gridCol w:w="109"/>
        <w:gridCol w:w="109"/>
        <w:gridCol w:w="109"/>
        <w:gridCol w:w="109"/>
        <w:gridCol w:w="214"/>
        <w:gridCol w:w="822"/>
        <w:gridCol w:w="120"/>
        <w:gridCol w:w="109"/>
        <w:gridCol w:w="109"/>
        <w:gridCol w:w="109"/>
        <w:gridCol w:w="222"/>
        <w:gridCol w:w="854"/>
        <w:gridCol w:w="125"/>
        <w:gridCol w:w="109"/>
        <w:gridCol w:w="109"/>
        <w:gridCol w:w="109"/>
        <w:gridCol w:w="305"/>
        <w:gridCol w:w="890"/>
        <w:gridCol w:w="171"/>
        <w:gridCol w:w="109"/>
        <w:gridCol w:w="109"/>
        <w:gridCol w:w="109"/>
        <w:gridCol w:w="221"/>
        <w:gridCol w:w="849"/>
        <w:gridCol w:w="176"/>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Shareholders’</w:t>
              <w:br/>
              <w:t>Equity Attributable to</w:t>
              <w:br/>
              <w:t>HF Foods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Shareholders’</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Arial;sans-serif" w:hAnsi="Arial;sans-serif"/>
                <w:b/>
                <w:sz w:val="16"/>
              </w:rPr>
              <w:br/>
            </w: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January 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54,735,073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604,235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(357,199)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239,291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2,003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241,294</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(1,530)</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54,735,073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604,609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(358,844)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238,020</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2,118</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240,138</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316,251 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(39,196)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55,012,128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605,078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(357,628)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239,705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1,412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241,117</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January 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55,041,255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605,838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(396,042)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202,051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1,535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203,586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at-the-market equity offering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Acquisition of Non-Controlling Interest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55,196,255</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606,243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(394,817)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203,681</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1,006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204,687</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313,352 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(425,528)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(36,767)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55,472,840</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1,571,895</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(6,099)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605,102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(392,237)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206,771</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1,047</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207,818</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1030"/>
                <wp:effectExtent l="0" t="0" r="0" b="0"/>
                <wp:wrapNone/>
                <wp:docPr id="8" name="Frame7"/>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1 - Organization and Description of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Organization and General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HF Foods Group Inc., headquartered in Las Vegas, Nevada, operating through our subsidiaries (collectively “HF Foods” or the “Company”) is a marketer and distributor of fresh produce, frozen and dry food, and non-food products to Asian restaurants, as well as other foodservice customers, throughout the United States. With multiple distribution centers located throughout the nation, HF Foods supplies Asian cuisine through its relationships with growers and suppliers of food products in North America, South America and Asia. The Company’s business consists of one operating segment, which is also its one reportable segment: HF Foods, which operates solely in the United States, offers specialty restaurant foods and supplies to its customers.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accompanying unaudited condensed consolidated financial statements have been prepared in accordance with generally accepted accounting principles in the United States of America (“GAAP”) and applicable rules and regulations of the U.S. Securities and Exchange Commission (“SEC”), regarding interim financial reporting. All adjustments (consisting of normal recurring accruals) considered necessary for a fair presentation have been included.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unaudited condensed consolidated financial statements and related financial information should be read in conjunction with the audited consolidated financial statements and the related notes thereto that are included in our Annual Report on Form 10-K for the year ended December 31, 2025 filed with the SEC on March 16, 2026 (our “2025 Annual Report”). There have been no material changes to our significant accounting policies as compared to the significant accounting policies described in our 2025 Annual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significant intercompany balances and transactions have been eliminated in consolidation. For consolidated entities where we own or are exposed to less than 100% of the economics, the Company records net income (loss) attributable to noncontrolling interests in its condensed consolidated statements of operations and comprehensive income (loss) equal to the percentage of the economic or ownership interest retained in such entity by the respective noncontrolling party.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Noncontrolling Interests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income (loss).</w:t>
      </w:r>
    </w:p>
    <w:p>
      <w:pPr>
        <w:pStyle w:val="TextBody"/>
        <w:bidi w:val="0"/>
        <w:spacing w:before="0" w:after="0"/>
        <w:jc w:val="both"/>
        <w:rPr/>
      </w:pPr>
      <w:r>
        <w:rPr/>
      </w:r>
    </w:p>
    <w:p>
      <w:pPr>
        <w:pStyle w:val="TextBody"/>
        <w:bidi w:val="0"/>
        <w:spacing w:lineRule="auto" w:line="288" w:before="0" w:after="60"/>
        <w:jc w:val="both"/>
        <w:rPr/>
      </w:pPr>
      <w:r>
        <w:rPr>
          <w:rFonts w:ascii="Arial;sans-serif" w:hAnsi="Arial;sans-serif"/>
          <w:b w:val="false"/>
          <w:color w:val="000000"/>
          <w:sz w:val="18"/>
        </w:rPr>
        <w:t xml:space="preserve">On March 1, 2026, the Company acquired an 18.99% ownership interest in its consolidated subsidiary, Min Food, Inc. (“Min Food”), from two investors for total consideration of approximately $0.8 million. Following the completion of this transaction, the Company’s ownership interest in Min Food increased from 60.25% to 79.24%, and the noncontrolling interest decreased from 39.75% to 20.76%. Because the Company maintained a controlling financial interest in Min Food both before and after the transaction, this acquisition was accounted for as an equity transaction in accordance with ASC 810, </w:t>
      </w:r>
      <w:r>
        <w:rPr>
          <w:rFonts w:ascii="Arial;sans-serif" w:hAnsi="Arial;sans-serif"/>
          <w:b w:val="false"/>
          <w:i/>
          <w:color w:val="000000"/>
          <w:sz w:val="18"/>
        </w:rPr>
        <w:t>Consolidation</w:t>
      </w:r>
      <w:r>
        <w:rPr>
          <w:rFonts w:ascii="Arial;sans-serif" w:hAnsi="Arial;sans-serif"/>
          <w:b w:val="false"/>
          <w:color w:val="000000"/>
          <w:sz w:val="18"/>
        </w:rPr>
        <w:t xml:space="preserve">. No gain or loss was recognized in the condensed consolidated statements of operations and comprehensive income (loss). </w: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of June 30, 2026 and December 31, 2025, noncontrolling interest equity consisted of the following:</w:t>
      </w:r>
    </w:p>
    <w:tbl>
      <w:tblPr>
        <w:tblW w:w="9994" w:type="dxa"/>
        <w:jc w:val="left"/>
        <w:tblInd w:w="0" w:type="dxa"/>
        <w:tblLayout w:type="fixed"/>
        <w:tblCellMar>
          <w:top w:w="28" w:type="dxa"/>
          <w:left w:w="28" w:type="dxa"/>
          <w:bottom w:w="28" w:type="dxa"/>
          <w:right w:w="28" w:type="dxa"/>
        </w:tblCellMar>
      </w:tblPr>
      <w:tblGrid>
        <w:gridCol w:w="884"/>
        <w:gridCol w:w="779"/>
        <w:gridCol w:w="781"/>
        <w:gridCol w:w="109"/>
        <w:gridCol w:w="109"/>
        <w:gridCol w:w="109"/>
        <w:gridCol w:w="1154"/>
        <w:gridCol w:w="1154"/>
        <w:gridCol w:w="1157"/>
        <w:gridCol w:w="109"/>
        <w:gridCol w:w="109"/>
        <w:gridCol w:w="109"/>
        <w:gridCol w:w="291"/>
        <w:gridCol w:w="849"/>
        <w:gridCol w:w="150"/>
        <w:gridCol w:w="109"/>
        <w:gridCol w:w="109"/>
        <w:gridCol w:w="109"/>
        <w:gridCol w:w="390"/>
        <w:gridCol w:w="1138"/>
        <w:gridCol w:w="286"/>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Ownership of</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noncontrolling interest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Min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Monterey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Uses of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Company’s consolidated financial statements include, but are not limited to, inventory reserves, impairment of long-lived assets, and impairment of 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November 2024, the FASB issued ASU 2024-03, Income Statement—Reporting Comprehensive Income—Expense Disaggregation Disclosures (Subtopic 220-40): Disaggregation of Income Statement Expenses. The guidance requires additional disclosure of certain amounts included in the expense captions presented on the Statement of Operations as well as disclosures about selling expenses. This guidance is effective on a prospective basis, with the option for retrospective application, for annual periods beginning after December 15, 2026 and interim reporting periods beginning after December 15, 2027.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September 2025, the FASB issued ASU 2025-06, Targeted Improvements to the Accounting for Internal-Use Software. This standard is intended to improve the operability and application of guidance related to capitalized software development costs. The guidance becomes effective on a prospective basis, with the option for modified prospective or retrospective application, for all entities for annual reporting periods beginning after December 15, 2027 and interim periods in those annual periods.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December 2025, the FASB issued ASU 2025-11, Interim Reporting (Topic 270). This new standard clarifies interim reporting guidance, develops a list of disclosures required by other Topics and intends to enhance consistency in interim reporting across entities. The standard allows for early adoption and becomes effective for fiscal years beginning after December 15, 2027, and interim periods within those annual periods. The Company is in the process of assessing the impact the adoption of this guidance will have on the Company’s interim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December 2025, the FASB issued ASU 2025-12, Codification Improvements. This update addresses a broad range of topics including technical corrections, unintended applications of the codifications, clarifications of certain items, and other minor improvements. The ASU is effective for annual and interim reporting periods beginning after December 15, 2026.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July 2025, the FASB issued ASU 2025-05, Measurement of Credit Losses for Accounts Receivable and Contract Assets. This standard amends ASC 326-20 to provide a practical expedient related to the estimation of expected credit losses for current accounts receivable and current contract assets that arise from transactions accounted for under ASC 606. The Company adopted this guidance prospectively effective January 1, 2026 and elected the practical expedient provided thereunder. The adoption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3 -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presents the Company’s net revenue disaggregated by principal product categories:</w:t>
      </w:r>
    </w:p>
    <w:p>
      <w:pPr>
        <w:pStyle w:val="TextBody"/>
        <w:bidi w:val="0"/>
        <w:spacing w:before="0" w:after="0"/>
        <w:jc w:val="left"/>
        <w:rPr/>
      </w:pPr>
      <w:r>
        <w:rPr/>
      </w:r>
    </w:p>
    <w:p>
      <w:pPr>
        <w:pStyle w:val="TextBody"/>
        <w:bidi w:val="0"/>
        <w:spacing w:before="0" w:after="0"/>
        <w:jc w:val="left"/>
        <w:rPr/>
      </w:pPr>
      <w:r>
        <w:rPr/>
      </w:r>
    </w:p>
    <w:tbl>
      <w:tblPr>
        <w:tblW w:w="11680" w:type="dxa"/>
        <w:jc w:val="left"/>
        <w:tblInd w:w="0" w:type="dxa"/>
        <w:tblLayout w:type="fixed"/>
        <w:tblCellMar>
          <w:top w:w="28" w:type="dxa"/>
          <w:left w:w="28" w:type="dxa"/>
          <w:bottom w:w="28" w:type="dxa"/>
          <w:right w:w="28" w:type="dxa"/>
        </w:tblCellMar>
      </w:tblPr>
      <w:tblGrid>
        <w:gridCol w:w="428"/>
        <w:gridCol w:w="311"/>
        <w:gridCol w:w="312"/>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Meat and Poultry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Asian Specialty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Produce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Packaging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changed its methodology of how it assigns certain food products to its Asian Specialty, Commodity and other categories in the current period. Prior period amounts have not been adjusted to reflect changes in the methodology for allocating certain food products to the product categories as recasting such prior period amounts was impracticable. As a result, comparability between periods may be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4 - Balance Sheet Components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net consisted of the following:</w:t>
      </w:r>
    </w:p>
    <w:p>
      <w:pPr>
        <w:pStyle w:val="TextBody"/>
        <w:bidi w:val="0"/>
        <w:spacing w:before="0" w:after="0"/>
        <w:jc w:val="left"/>
        <w:rPr/>
      </w:pPr>
      <w:r>
        <w:rPr/>
      </w:r>
    </w:p>
    <w:tbl>
      <w:tblPr>
        <w:tblW w:w="6986" w:type="dxa"/>
        <w:jc w:val="left"/>
        <w:tblInd w:w="0" w:type="dxa"/>
        <w:tblLayout w:type="fixed"/>
        <w:tblCellMar>
          <w:top w:w="28" w:type="dxa"/>
          <w:left w:w="28" w:type="dxa"/>
          <w:bottom w:w="28" w:type="dxa"/>
          <w:right w:w="28" w:type="dxa"/>
        </w:tblCellMar>
      </w:tblPr>
      <w:tblGrid>
        <w:gridCol w:w="1285"/>
        <w:gridCol w:w="1133"/>
        <w:gridCol w:w="1137"/>
        <w:gridCol w:w="261"/>
        <w:gridCol w:w="894"/>
        <w:gridCol w:w="135"/>
        <w:gridCol w:w="109"/>
        <w:gridCol w:w="109"/>
        <w:gridCol w:w="109"/>
        <w:gridCol w:w="352"/>
        <w:gridCol w:w="1205"/>
        <w:gridCol w:w="257"/>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66,890 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allowance for expected credit losses</w:t>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(1,087)</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(1,199)</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63,963 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65,691 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beginning balance of accounts receivable as of January 1, 2025 was $55.7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Movement of allowance for expected credit losses was as follows:</w: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987"/>
        <w:gridCol w:w="870"/>
        <w:gridCol w:w="872"/>
        <w:gridCol w:w="230"/>
        <w:gridCol w:w="672"/>
        <w:gridCol w:w="119"/>
        <w:gridCol w:w="119"/>
        <w:gridCol w:w="119"/>
        <w:gridCol w:w="119"/>
        <w:gridCol w:w="230"/>
        <w:gridCol w:w="672"/>
        <w:gridCol w:w="119"/>
        <w:gridCol w:w="109"/>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Credit for expected credit losses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Bad debt write-offs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 consisted of the following:</w:t>
      </w:r>
    </w:p>
    <w:p>
      <w:pPr>
        <w:pStyle w:val="TextBody"/>
        <w:bidi w:val="0"/>
        <w:spacing w:before="0" w:after="0"/>
        <w:jc w:val="left"/>
        <w:rPr/>
      </w:pPr>
      <w:r>
        <w:rPr/>
      </w:r>
    </w:p>
    <w:tbl>
      <w:tblPr>
        <w:tblW w:w="7046" w:type="dxa"/>
        <w:jc w:val="left"/>
        <w:tblInd w:w="0" w:type="dxa"/>
        <w:tblLayout w:type="fixed"/>
        <w:tblCellMar>
          <w:top w:w="28" w:type="dxa"/>
          <w:left w:w="28" w:type="dxa"/>
          <w:bottom w:w="28" w:type="dxa"/>
          <w:right w:w="28" w:type="dxa"/>
        </w:tblCellMar>
      </w:tblPr>
      <w:tblGrid>
        <w:gridCol w:w="1307"/>
        <w:gridCol w:w="1152"/>
        <w:gridCol w:w="1156"/>
        <w:gridCol w:w="291"/>
        <w:gridCol w:w="849"/>
        <w:gridCol w:w="150"/>
        <w:gridCol w:w="109"/>
        <w:gridCol w:w="109"/>
        <w:gridCol w:w="109"/>
        <w:gridCol w:w="390"/>
        <w:gridCol w:w="1138"/>
        <w:gridCol w:w="286"/>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Advances to suppliers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7,224 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Assets held for sale consisted of the following:</w:t>
      </w:r>
    </w:p>
    <w:p>
      <w:pPr>
        <w:pStyle w:val="TextBody"/>
        <w:bidi w:val="0"/>
        <w:spacing w:before="0" w:after="0"/>
        <w:jc w:val="both"/>
        <w:rPr/>
      </w:pPr>
      <w:r>
        <w:rPr/>
      </w:r>
    </w:p>
    <w:tbl>
      <w:tblPr>
        <w:tblW w:w="5140" w:type="dxa"/>
        <w:jc w:val="left"/>
        <w:tblInd w:w="0" w:type="dxa"/>
        <w:tblLayout w:type="fixed"/>
        <w:tblCellMar>
          <w:top w:w="28" w:type="dxa"/>
          <w:left w:w="28" w:type="dxa"/>
          <w:bottom w:w="28" w:type="dxa"/>
          <w:right w:w="28" w:type="dxa"/>
        </w:tblCellMar>
      </w:tblPr>
      <w:tblGrid>
        <w:gridCol w:w="618"/>
        <w:gridCol w:w="545"/>
        <w:gridCol w:w="546"/>
        <w:gridCol w:w="375"/>
        <w:gridCol w:w="721"/>
        <w:gridCol w:w="193"/>
        <w:gridCol w:w="109"/>
        <w:gridCol w:w="109"/>
        <w:gridCol w:w="109"/>
        <w:gridCol w:w="378"/>
        <w:gridCol w:w="1159"/>
        <w:gridCol w:w="278"/>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2,768 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2025, the Company approved a plan to sell land and a building it owned in Utah. The Company engaged a firm to market the location for sale and solicited multiple offers on the property. On October 17, 2025, the Company executed a sale agreement for the assets and subsequently determined that the assets met the accounting requirements to be classified as held for sale as of December 31, 2025. The Company closed on the sale of the land and building on February 12, 2026. The gain of $1.4 million realized on the sale was recognized in other income, net on our condensed consolidated statements of operations and comprehensive income (loss) in the current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Property and equipment, net consisted of the following: </w:t>
      </w:r>
    </w:p>
    <w:p>
      <w:pPr>
        <w:pStyle w:val="TextBody"/>
        <w:bidi w:val="0"/>
        <w:spacing w:before="0" w:after="0"/>
        <w:jc w:val="both"/>
        <w:rPr/>
      </w:pPr>
      <w:r>
        <w:rPr/>
      </w:r>
    </w:p>
    <w:tbl>
      <w:tblPr>
        <w:tblW w:w="6145" w:type="dxa"/>
        <w:jc w:val="left"/>
        <w:tblInd w:w="0" w:type="dxa"/>
        <w:tblLayout w:type="fixed"/>
        <w:tblCellMar>
          <w:top w:w="28" w:type="dxa"/>
          <w:left w:w="28" w:type="dxa"/>
          <w:bottom w:w="28" w:type="dxa"/>
          <w:right w:w="28" w:type="dxa"/>
        </w:tblCellMar>
      </w:tblPr>
      <w:tblGrid>
        <w:gridCol w:w="981"/>
        <w:gridCol w:w="865"/>
        <w:gridCol w:w="869"/>
        <w:gridCol w:w="237"/>
        <w:gridCol w:w="930"/>
        <w:gridCol w:w="122"/>
        <w:gridCol w:w="109"/>
        <w:gridCol w:w="109"/>
        <w:gridCol w:w="109"/>
        <w:gridCol w:w="321"/>
        <w:gridCol w:w="1259"/>
        <w:gridCol w:w="234"/>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Automobiles </w:t>
            </w:r>
            <w:r>
              <w:rPr>
                <w:rFonts w:ascii="Arial;sans-serif" w:hAnsi="Arial;sans-serif"/>
                <w:b w:val="false"/>
                <w:color w:val="000000"/>
                <w:sz w:val="12"/>
              </w:rPr>
              <w:t>(1)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65,574 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65,202 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64,608 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60,648 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Building improvements </w:t>
            </w:r>
            <w:r>
              <w:rPr>
                <w:rFonts w:ascii="Arial;sans-serif" w:hAnsi="Arial;sans-serif"/>
                <w:b w:val="false"/>
                <w:color w:val="000000"/>
                <w:sz w:val="12"/>
              </w:rPr>
              <w:t>(1)</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57,721 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49,180 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Machinery and equipment </w:t>
            </w:r>
            <w:r>
              <w:rPr>
                <w:rFonts w:ascii="Arial;sans-serif" w:hAnsi="Arial;sans-serif"/>
                <w:b w:val="false"/>
                <w:color w:val="000000"/>
                <w:sz w:val="12"/>
              </w:rPr>
              <w:t>(1)</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249,556 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233,694 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(70,667)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(70,297)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178,889 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163,397 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The cost and accumulated depreciation of property and equipment related to finance leases was $51.2 million and $24.2 million, respectively, at June 30, 2026 and $50.0 million and $21.1 million, respectively, at December 31, 2025. The total future minimum lease payments under all finance leases as of June 30, 2026 is $41.7 million.</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Depreciation expense was $3.5 million and $3.2 million for the three months ended June 30, 2026 and 2025, respectively. Depreciation expense was $7.1 million and $6.1 million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Long-term investments consisted of the following:</w:t>
      </w:r>
    </w:p>
    <w:p>
      <w:pPr>
        <w:pStyle w:val="TextBody"/>
        <w:bidi w:val="0"/>
        <w:spacing w:before="0" w:after="0"/>
        <w:jc w:val="both"/>
        <w:rPr/>
      </w:pPr>
      <w:r>
        <w:rPr/>
      </w:r>
    </w:p>
    <w:tbl>
      <w:tblPr>
        <w:tblW w:w="9846" w:type="dxa"/>
        <w:jc w:val="left"/>
        <w:tblInd w:w="0" w:type="dxa"/>
        <w:tblLayout w:type="fixed"/>
        <w:tblCellMar>
          <w:top w:w="28" w:type="dxa"/>
          <w:left w:w="28" w:type="dxa"/>
          <w:bottom w:w="28" w:type="dxa"/>
          <w:right w:w="28" w:type="dxa"/>
        </w:tblCellMar>
      </w:tblPr>
      <w:tblGrid>
        <w:gridCol w:w="1388"/>
        <w:gridCol w:w="1224"/>
        <w:gridCol w:w="1227"/>
        <w:gridCol w:w="749"/>
        <w:gridCol w:w="749"/>
        <w:gridCol w:w="751"/>
        <w:gridCol w:w="109"/>
        <w:gridCol w:w="109"/>
        <w:gridCol w:w="109"/>
        <w:gridCol w:w="291"/>
        <w:gridCol w:w="849"/>
        <w:gridCol w:w="150"/>
        <w:gridCol w:w="109"/>
        <w:gridCol w:w="109"/>
        <w:gridCol w:w="109"/>
        <w:gridCol w:w="390"/>
        <w:gridCol w:w="1138"/>
        <w:gridCol w:w="286"/>
      </w:tblGrid>
      <w:tr>
        <w:trPr/>
        <w:tc>
          <w:tcPr>
            <w:tcW w:w="138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Ownership as of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 (“Asahi”)</w:t>
            </w:r>
          </w:p>
        </w:tc>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Tamron Akuatik Produk Industri (“Tamron”)</w:t>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investments</w:t>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investment in Tamron is accounted for using the measurement alternative under Accounting Standards Codification (“ASC”) Topic 321 </w:t>
      </w:r>
      <w:r>
        <w:rPr>
          <w:rFonts w:ascii="Arial;sans-serif" w:hAnsi="Arial;sans-serif"/>
          <w:b w:val="false"/>
          <w:i/>
          <w:color w:val="000000"/>
          <w:sz w:val="18"/>
        </w:rPr>
        <w:t>Investments—Equity Securities</w:t>
      </w:r>
      <w:r>
        <w:rPr>
          <w:rFonts w:ascii="Arial;sans-serif" w:hAnsi="Arial;sans-serif"/>
          <w:b w:val="false"/>
          <w:color w:val="000000"/>
          <w:sz w:val="18"/>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for the six months ended June 30, 2026 and 2025 for these investments.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Accrued expenses and other liabilities consisted of the following:</w:t>
      </w:r>
    </w:p>
    <w:p>
      <w:pPr>
        <w:pStyle w:val="TextBody"/>
        <w:bidi w:val="0"/>
        <w:spacing w:before="0" w:after="0"/>
        <w:jc w:val="left"/>
        <w:rPr/>
      </w:pPr>
      <w:r>
        <w:rPr/>
      </w:r>
    </w:p>
    <w:tbl>
      <w:tblPr>
        <w:tblW w:w="7417" w:type="dxa"/>
        <w:jc w:val="left"/>
        <w:tblInd w:w="0" w:type="dxa"/>
        <w:tblLayout w:type="fixed"/>
        <w:tblCellMar>
          <w:top w:w="28" w:type="dxa"/>
          <w:left w:w="28" w:type="dxa"/>
          <w:bottom w:w="28" w:type="dxa"/>
          <w:right w:w="28" w:type="dxa"/>
        </w:tblCellMar>
      </w:tblPr>
      <w:tblGrid>
        <w:gridCol w:w="1323"/>
        <w:gridCol w:w="1167"/>
        <w:gridCol w:w="1169"/>
        <w:gridCol w:w="109"/>
        <w:gridCol w:w="109"/>
        <w:gridCol w:w="109"/>
        <w:gridCol w:w="261"/>
        <w:gridCol w:w="894"/>
        <w:gridCol w:w="135"/>
        <w:gridCol w:w="109"/>
        <w:gridCol w:w="109"/>
        <w:gridCol w:w="109"/>
        <w:gridCol w:w="352"/>
        <w:gridCol w:w="1205"/>
        <w:gridCol w:w="257"/>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5 -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Company’s hierarchy for its assets and liabilities measured at fair value on a recurring basis as of the dates indicated:</w:t>
      </w:r>
    </w:p>
    <w:p>
      <w:pPr>
        <w:pStyle w:val="TextBody"/>
        <w:bidi w:val="0"/>
        <w:spacing w:before="0" w:after="0"/>
        <w:jc w:val="left"/>
        <w:rPr/>
      </w:pPr>
      <w:r>
        <w:rPr/>
      </w:r>
    </w:p>
    <w:tbl>
      <w:tblPr>
        <w:tblW w:w="10243" w:type="dxa"/>
        <w:jc w:val="left"/>
        <w:tblInd w:w="0" w:type="dxa"/>
        <w:tblLayout w:type="fixed"/>
        <w:tblCellMar>
          <w:top w:w="28" w:type="dxa"/>
          <w:left w:w="28" w:type="dxa"/>
          <w:bottom w:w="28" w:type="dxa"/>
          <w:right w:w="28" w:type="dxa"/>
        </w:tblCellMar>
      </w:tblPr>
      <w:tblGrid>
        <w:gridCol w:w="437"/>
        <w:gridCol w:w="253"/>
        <w:gridCol w:w="241"/>
        <w:gridCol w:w="211"/>
        <w:gridCol w:w="406"/>
        <w:gridCol w:w="109"/>
        <w:gridCol w:w="109"/>
        <w:gridCol w:w="109"/>
        <w:gridCol w:w="109"/>
        <w:gridCol w:w="221"/>
        <w:gridCol w:w="505"/>
        <w:gridCol w:w="115"/>
        <w:gridCol w:w="109"/>
        <w:gridCol w:w="109"/>
        <w:gridCol w:w="109"/>
        <w:gridCol w:w="283"/>
        <w:gridCol w:w="545"/>
        <w:gridCol w:w="148"/>
        <w:gridCol w:w="109"/>
        <w:gridCol w:w="109"/>
        <w:gridCol w:w="109"/>
        <w:gridCol w:w="211"/>
        <w:gridCol w:w="481"/>
        <w:gridCol w:w="109"/>
        <w:gridCol w:w="109"/>
        <w:gridCol w:w="109"/>
        <w:gridCol w:w="109"/>
        <w:gridCol w:w="211"/>
        <w:gridCol w:w="406"/>
        <w:gridCol w:w="109"/>
        <w:gridCol w:w="109"/>
        <w:gridCol w:w="109"/>
        <w:gridCol w:w="109"/>
        <w:gridCol w:w="211"/>
        <w:gridCol w:w="646"/>
        <w:gridCol w:w="109"/>
        <w:gridCol w:w="109"/>
        <w:gridCol w:w="109"/>
        <w:gridCol w:w="109"/>
        <w:gridCol w:w="283"/>
        <w:gridCol w:w="545"/>
        <w:gridCol w:w="148"/>
        <w:gridCol w:w="109"/>
        <w:gridCol w:w="109"/>
        <w:gridCol w:w="109"/>
        <w:gridCol w:w="211"/>
        <w:gridCol w:w="646"/>
        <w:gridCol w:w="154"/>
      </w:tblGrid>
      <w:tr>
        <w:trPr/>
        <w:tc>
          <w:tcPr>
            <w:tcW w:w="4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follows the provisions of ASC Topic 820 </w:t>
      </w:r>
      <w:r>
        <w:rPr>
          <w:rFonts w:ascii="Arial;sans-serif" w:hAnsi="Arial;sans-serif"/>
          <w:b w:val="false"/>
          <w:i/>
          <w:color w:val="000000"/>
          <w:sz w:val="18"/>
        </w:rPr>
        <w:t>Fair Value Measurement</w:t>
      </w:r>
      <w:r>
        <w:rPr>
          <w:color w:val="000000"/>
        </w:rPr>
        <w:t xml:space="preserve"> </w:t>
      </w:r>
      <w:r>
        <w:rPr>
          <w:rFonts w:ascii="Arial;sans-serif" w:hAnsi="Arial;sans-serif"/>
          <w:b w:val="false"/>
          <w:color w:val="000000"/>
          <w:sz w:val="18"/>
        </w:rPr>
        <w:t>which clarifies the definition of fair value, prescribes methods for measuring fair value, and establishes a fair value hierarchy to classify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1 - Inputs are unadjusted quoted prices in active markets for identical assets or liabilities available at the measurement date.</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3 - Inputs are unobservable inputs which reflect the reporting entity’s own assumptions about what assumptions market participants would use in pricing the asset or liability based on the best available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carrying amounts reported in the consolidated balance sheets for cash, accounts receivable, other current assets, accounts payable, checks issued not presented for payment and accrued expenses and other liabilities approximate their fair value based on the short-term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See </w:t>
      </w:r>
      <w:r>
        <w:rPr>
          <w:rFonts w:ascii="Arial;sans-serif" w:hAnsi="Arial;sans-serif"/>
          <w:b w:val="false"/>
          <w:i/>
          <w:color w:val="000000"/>
          <w:sz w:val="18"/>
        </w:rPr>
        <w:t>Note 7 - Derivative Financial Instruments</w:t>
      </w:r>
      <w:r>
        <w:rPr>
          <w:color w:val="000000"/>
        </w:rPr>
        <w:t xml:space="preserve"> </w:t>
      </w:r>
      <w:r>
        <w:rPr>
          <w:rFonts w:ascii="Arial;sans-serif" w:hAnsi="Arial;sans-serif"/>
          <w:b w:val="false"/>
          <w:color w:val="000000"/>
          <w:sz w:val="18"/>
        </w:rPr>
        <w:t xml:space="preserve">for additional information regarding the Company’s interest rate swaps.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18"/>
        </w:rPr>
        <w:t>Carrying Value and Estimated Fair Value of Outstanding Debt</w:t>
      </w:r>
      <w:r>
        <w:rPr>
          <w:color w:val="000000"/>
        </w:rPr>
        <w:t xml:space="preserve"> </w:t>
      </w:r>
      <w:r>
        <w:rPr>
          <w:rFonts w:ascii="Arial;sans-serif" w:hAnsi="Arial;sans-serif"/>
          <w:b w:val="false"/>
          <w:color w:val="000000"/>
          <w:sz w:val="18"/>
        </w:rPr>
        <w:t xml:space="preserve">- The following table presents the carrying value and estimated fair value of the Company’s outstanding debt as described in </w:t>
      </w:r>
      <w:r>
        <w:rPr>
          <w:rFonts w:ascii="Arial;sans-serif" w:hAnsi="Arial;sans-serif"/>
          <w:b w:val="false"/>
          <w:i/>
          <w:color w:val="000000"/>
          <w:sz w:val="18"/>
        </w:rPr>
        <w:t>Note 8 - Long-Term Debt</w:t>
      </w:r>
      <w:r>
        <w:rPr>
          <w:rFonts w:ascii="Arial;sans-serif" w:hAnsi="Arial;sans-serif"/>
          <w:b w:val="false"/>
          <w:color w:val="000000"/>
          <w:sz w:val="18"/>
        </w:rPr>
        <w:t>, including the current portion, as of the dates indicated:</w:t>
      </w:r>
    </w:p>
    <w:p>
      <w:pPr>
        <w:pStyle w:val="TextBody"/>
        <w:bidi w:val="0"/>
        <w:spacing w:before="0" w:after="0"/>
        <w:jc w:val="both"/>
        <w:rPr/>
      </w:pPr>
      <w:r>
        <w:rPr/>
      </w:r>
    </w:p>
    <w:tbl>
      <w:tblPr>
        <w:tblW w:w="7553" w:type="dxa"/>
        <w:jc w:val="left"/>
        <w:tblInd w:w="0" w:type="dxa"/>
        <w:tblLayout w:type="fixed"/>
        <w:tblCellMar>
          <w:top w:w="28" w:type="dxa"/>
          <w:left w:w="28" w:type="dxa"/>
          <w:bottom w:w="28" w:type="dxa"/>
          <w:right w:w="28" w:type="dxa"/>
        </w:tblCellMar>
      </w:tblPr>
      <w:tblGrid>
        <w:gridCol w:w="802"/>
        <w:gridCol w:w="708"/>
        <w:gridCol w:w="709"/>
        <w:gridCol w:w="109"/>
        <w:gridCol w:w="109"/>
        <w:gridCol w:w="109"/>
        <w:gridCol w:w="211"/>
        <w:gridCol w:w="406"/>
        <w:gridCol w:w="109"/>
        <w:gridCol w:w="109"/>
        <w:gridCol w:w="109"/>
        <w:gridCol w:w="109"/>
        <w:gridCol w:w="211"/>
        <w:gridCol w:w="721"/>
        <w:gridCol w:w="109"/>
        <w:gridCol w:w="109"/>
        <w:gridCol w:w="109"/>
        <w:gridCol w:w="109"/>
        <w:gridCol w:w="211"/>
        <w:gridCol w:w="406"/>
        <w:gridCol w:w="109"/>
        <w:gridCol w:w="109"/>
        <w:gridCol w:w="109"/>
        <w:gridCol w:w="109"/>
        <w:gridCol w:w="279"/>
        <w:gridCol w:w="956"/>
        <w:gridCol w:w="144"/>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3"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financial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JPMorgan 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Fixed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finance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JPMorgan 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East West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 xml:space="preserve">See </w:t>
      </w:r>
      <w:r>
        <w:rPr>
          <w:rFonts w:ascii="Arial;sans-serif" w:hAnsi="Arial;sans-serif"/>
          <w:b w:val="false"/>
          <w:i/>
          <w:color w:val="000000"/>
          <w:sz w:val="18"/>
        </w:rPr>
        <w:t>Note 8 - Long-Term Debt</w:t>
      </w:r>
      <w:r>
        <w:rPr>
          <w:color w:val="000000"/>
        </w:rPr>
        <w:t xml:space="preserve"> </w:t>
      </w:r>
      <w:r>
        <w:rPr>
          <w:rFonts w:ascii="Arial;sans-serif" w:hAnsi="Arial;sans-serif"/>
          <w:b w:val="false"/>
          <w:color w:val="000000"/>
          <w:sz w:val="18"/>
        </w:rPr>
        <w:t>for additional information regarding the Company’s debt.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Nonrecurring Fair Values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measures fair value of certain assets on a nonrecurring basis when events or changes in circumstances indicate that the carrying value of the assets may not be recoverable.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performed a quantitative goodwill impairment analysis as of December 31, 2025. The results of testing as of December 31, 2025 concluded that the estimated fair value of our one reporting unit fell short of carrying value, and therefore impairment existed as of that date. A goodwill impairment charge of $38.8 million was recorded for the year ended December 31, 2025, which resulted in the full impairment of our remaining goodwill balance. The calculation of the fair value of our reporting unit was determined using Level 3 fair value measurements due to its use of internal projections and unobservable measurement inputs.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were no assets carried at nonrecurring fair value at June 30, 2026. There were no assets carried at nonrecurring fair value other than goodwill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6 -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Intangible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components of the intangible assets are as follows:</w:t>
      </w:r>
    </w:p>
    <w:p>
      <w:pPr>
        <w:pStyle w:val="TextBody"/>
        <w:bidi w:val="0"/>
        <w:spacing w:before="0" w:after="0"/>
        <w:jc w:val="both"/>
        <w:rPr/>
      </w:pPr>
      <w:r>
        <w:rPr/>
      </w:r>
    </w:p>
    <w:tbl>
      <w:tblPr>
        <w:tblW w:w="10284" w:type="dxa"/>
        <w:jc w:val="left"/>
        <w:tblInd w:w="0" w:type="dxa"/>
        <w:tblLayout w:type="fixed"/>
        <w:tblCellMar>
          <w:top w:w="28" w:type="dxa"/>
          <w:left w:w="28" w:type="dxa"/>
          <w:bottom w:w="28" w:type="dxa"/>
          <w:right w:w="28" w:type="dxa"/>
        </w:tblCellMar>
      </w:tblPr>
      <w:tblGrid>
        <w:gridCol w:w="571"/>
        <w:gridCol w:w="318"/>
        <w:gridCol w:w="312"/>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Trademarks and trade names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(26,097)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(23,894)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(59,218)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Inventory Management System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(91,543)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(83,652)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151,488 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Amortization expense for intangible assets was $3.9 million each for the three months ended June 30, 2026 and 2025, respectively. Amortization expense for intangible assets was $7.9 million and $7.8 million for the six months ended June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7 - Derivative Financial Instruments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Derivative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utilizes interest rate swaps (“IRS”) for the sole purpose of mitigating interest rate fluctuation risk associated with floating rate debt instruments (as defined in </w:t>
      </w:r>
      <w:r>
        <w:rPr>
          <w:rFonts w:ascii="Arial;sans-serif" w:hAnsi="Arial;sans-serif"/>
          <w:b w:val="false"/>
          <w:i/>
          <w:color w:val="000000"/>
          <w:sz w:val="18"/>
        </w:rPr>
        <w:t>Note 8 - Long-Term Debt</w:t>
      </w:r>
      <w:r>
        <w:rPr>
          <w:rFonts w:ascii="Arial;sans-serif" w:hAnsi="Arial;sans-serif"/>
          <w:b w:val="false"/>
          <w:color w:val="000000"/>
          <w:sz w:val="18"/>
        </w:rPr>
        <w:t>). The Company does not use any other derivative financial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+ 2.50%. The BOA IRS was modified accordingly to fix the SOFR based loan to approximately 4.50%. The term loan and corresponding BOA IRS contract mature in December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June 30, 2026, the Company determined that the fair values of the IRS contracts were $0.3 million in an asset position and $0.1 million in a liability position. As of December 31, 2025, the fair values of the IRS contracts were $0.2 million in an asset position and $1.6 million in a liability position. The Company includes these in other long-term assets and other long-term liabilities, respectively, on the consolidated balance sheets.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8 - Long-Term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Long-term debt at June 30, 2026 and December 31, 2025 is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9"/>
        <w:gridCol w:w="601"/>
        <w:gridCol w:w="603"/>
        <w:gridCol w:w="109"/>
        <w:gridCol w:w="109"/>
        <w:gridCol w:w="109"/>
        <w:gridCol w:w="718"/>
        <w:gridCol w:w="702"/>
        <w:gridCol w:w="710"/>
        <w:gridCol w:w="109"/>
        <w:gridCol w:w="109"/>
        <w:gridCol w:w="109"/>
        <w:gridCol w:w="669"/>
        <w:gridCol w:w="669"/>
        <w:gridCol w:w="672"/>
        <w:gridCol w:w="109"/>
        <w:gridCol w:w="109"/>
        <w:gridCol w:w="109"/>
        <w:gridCol w:w="253"/>
        <w:gridCol w:w="866"/>
        <w:gridCol w:w="131"/>
        <w:gridCol w:w="109"/>
        <w:gridCol w:w="109"/>
        <w:gridCol w:w="109"/>
        <w:gridCol w:w="312"/>
        <w:gridCol w:w="1067"/>
        <w:gridCol w:w="235"/>
      </w:tblGrid>
      <w:tr>
        <w:trPr/>
        <w:tc>
          <w:tcPr>
            <w:tcW w:w="68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Bank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Interest Rate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Bank of America </w:t>
            </w:r>
            <w:r>
              <w:rPr>
                <w:rFonts w:ascii="Arial;sans-serif" w:hAnsi="Arial;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4.34% - 6.23%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East West Bank </w:t>
            </w:r>
            <w:r>
              <w:rPr>
                <w:rFonts w:ascii="Arial;sans-serif" w:hAnsi="Arial;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5.91% - 7.25%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Regents Capital Corp. </w:t>
            </w: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JPMorgan Chase </w:t>
            </w:r>
            <w:r>
              <w:rPr>
                <w:rFonts w:ascii="Arial;sans-serif" w:hAnsi="Arial;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90,642 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96,196 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financial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2028 - July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6.99% - 7.70%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debt,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100,757 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106,292 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debt,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100,555 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106,119 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(6,683)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95,344 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99,436 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 xml:space="preserve">(a)Loan balance consists of real estate term loan and equipment term loan, collateralized by one real property and specific equipment. </w:t>
      </w:r>
      <w:r>
        <w:rPr>
          <w:rFonts w:ascii="Arial;sans-serif" w:hAnsi="Arial;sans-serif"/>
          <w:b w:val="false"/>
          <w:color w:val="000000"/>
          <w:sz w:val="16"/>
        </w:rPr>
        <w:t xml:space="preserve">The real estate term loan is pegged to TERM SOFR + 2.50%. </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(b)</w:t>
      </w:r>
      <w:r>
        <w:rPr>
          <w:rFonts w:ascii="Arial;sans-serif" w:hAnsi="Arial;sans-serif"/>
          <w:b w:val="false"/>
          <w:color w:val="000000"/>
          <w:sz w:val="16"/>
        </w:rPr>
        <w:t>Real estate term loans with East West Bank are collateralized by three real properties. Balloon payments of $1.9 million and $2.9 million are due at maturity in 2027 and 2029, respectively.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(c)Equipment loan secured by the financed equipment assets and has a maturity date in February 2030.</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(d)Real estate term loan with a principal balance of $90.6 million as of June 30, 2026 and $96.2 million as of December 31, 2025 is secured by assets held by the Company and has a maturity date of January 2030.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terms of the various loan agreements related to long-term bank borrowings require the Company to comply with certain financial covenants, including, but not limited to, a fixed charge coverage ratio and effective tangible net worth. As of June 30, 2026, the Company was in compliance with its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March 31, 2022, the Company entered into the Third Amended Credit Agreement extending the Revolving Facility for five years, with a maturity date of March 31, 2027. The Third Amended Credit Agreement provides for a $100.0 million asset-secured revolving credit facility with a one-month SOFR plus a credit adjustment of 0.1% plus 1.375% per annum. On February 6, 2024, the Company amended the Third Amended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Third Amended Credit Agreement and; (iii) remove certain sublease income from various financial covenants. On July 15, 2024, the Company again amended the Third Amended Credit Agreement to (i) increase the issuing bank sublimit to $10.0 million and; (ii) modify the due date for a borrowing base certificate based on availability under the revolving credit facility.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February 12, 2025, the Company entered into a Joinder and Amendment no. 4 to the Third Amended Credit Agreement, which revised certain terms by, among other things, (i) increasing the Revolving Commitment (as defined in the Credit Agreement) from $100.0 million to $125.0 million, (ii) joining three new subsidiaries of the Company to the Credit Agreement, each as a “Borrower” thereunder, (iii) joining Wells Fargo Bank, N.A. to the credit agreement as a “Lender” thereunder, (iv) amending certain affirmative covenants commensurate with the increase in the Revolving Facility, and (v) amending certain restrictions regarding incurring obligations under real property leases and equipment financings in the ordinary course of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March 30, 2026, the Company entered into a Joinder and Amendment no. 5 (the “Fifth Amendment”) to the Third Amended Credit Agreement, with JPMorgan Chase Bank, and certain other lender parties thereto, to revise the Third Amended Credit Agreement. The Fifth Amendment revises the credit agreement to (i) extend the maturity date of the credit facility to the earlier of March 31, 2031 or certain other dates subject to conditions specified in the agreement; (ii) amend the interest rate to be based upon the one month SOFR plus a fixed spread based upon the daily availability of the aggregate revolving commitment; and (iii) add HF Atlanta, LLC as an additional loan party as a “Borrower” thereunder.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Company was in compliance with its covenants. The outstanding principal balance on the line of credit as of June 30, 2026 was $77.1 million and outstanding letters of credit amounted to $8.2 million leaving access to approximately $39.7 million in additional funds through our $125.0 million line of credit, subject to a borrowing base calculation.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9 - Shareholders'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100,000,000 shares of common stock authorized, with a par value of $0.0001 per share as of June 30, 2026 and December 31, 2025.</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September 25, 2025, the Company entered into an At-the-Market (ATM) Sales Agreement with D.A. Davidson &amp; Co. and Roth Capital Partners, LLC, pursuant to which the Company may sell, from time to time, at its discretion, shares (the “Shares”) of the Company’s common stock, par value $0.0001 per share, having an aggregate offering price of up to $100.0 million, subject to the terms of the sales agreement. During the quarter ended June 30, 2026, the Company sold no shares under the offering. During the six months ended June 30, 2026 the Company sold 155,000 Shares for cash proceeds of $0.3 million under the offering. The Company sold no Shares under the offering during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Preferred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authorized 100,000 shares of Series A Participating Preferred Stock, with a par value of $0.001 per share and 1,000,000 shares of Preferred Stock, with a par value of $0.001 per share as of June 30, 2026 and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no preferred stock outstanding as of June 30, 2026 or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Stockholder Rights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June 11, 2026, the Company's Board of Directors declared a dividend distribution of one preferred share purchase right (a "Right") for each outstanding share of the Company's common stock to stockholders of record as of the close of business on June 22, 2026. The Rights were issued pursuant to a Preferred Stock Rights Agreement, dated as of June 11, 2026 (the "Rights Agreement"), between the Company and Equiniti Trust Company, LLC, as rights agent. In connection with the Rights Agreement, the Board designated 100,000 shares of Series AA Participating Preferred Stock, par value $0.001 per share ("Series AA Preferred Stock"), and reserved such shares for issuance upon exercise of the Rights. No shares of Series AA Preferred Stock were issued or outstanding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Each Right entitles the registered holder to purchase from the Company one one-thousandth of a share of Series AA Preferred Stock at an exercise price of $9.55, subject to adjustment. The Rights are attached to, and trade with, the shares of common stock and are not exercisable until the earlier of ten business days following (i) a public announcement that a person or group has acquired beneficial ownership of 15% or more of the Company's outstanding common stock without Board approval, or (ii) the commencement of a tender or exchange offer that would result in such ownership. If the Rights become exercisable, each Right (other than Rights beneficially owned by the acquiring person or group, which become null and void) will entitle the holder to purchase shares of common stock having a market value of twice the exercise price. The Rights may be redeemed by the Board at a price of $0.001 per Right at any time prior to a triggering event and expire at 5:00 p.m., New York City time, on June 10, 2027, unless earlier redeemed, exchanged, or terminated.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Rights carry no voting or dividend rights. Because the Rights were not exercisable as of June 30, 2026, their issuance had no effect on the Company's condensed consolidated financial statements for the three and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10 - Earnings (Loss) Per Share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computes earnings (loss) per share (“EPS”) in accordance with ASC Topic 260 (“ASC 260”), </w:t>
      </w:r>
      <w:r>
        <w:rPr>
          <w:rFonts w:ascii="Arial;sans-serif" w:hAnsi="Arial;sans-serif"/>
          <w:b w:val="false"/>
          <w:i/>
          <w:color w:val="000000"/>
          <w:sz w:val="18"/>
        </w:rPr>
        <w:t>Earnings per Share</w:t>
      </w:r>
      <w:r>
        <w:rPr>
          <w:rFonts w:ascii="Arial;sans-serif" w:hAnsi="Arial;sans-serif"/>
          <w:b w:val="false"/>
          <w:color w:val="000000"/>
          <w:sz w:val="18"/>
        </w:rPr>
        <w:t xml:space="preserve">. ASC 260 requires companies with complex capital structures to present basic and diluted EPS. Basic EPS is measured as net income (loss)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1,305,105 potential common shares related to performance-based restricted stock units and restricted stock units that were excluded from the calculation of diluted EPS for the six months ended June 30, 2025, because their effect could have been anti-dilutive. The Rights described in </w:t>
      </w:r>
      <w:r>
        <w:rPr>
          <w:rFonts w:ascii="Arial;sans-serif" w:hAnsi="Arial;sans-serif"/>
          <w:b w:val="false"/>
          <w:i/>
          <w:color w:val="000000"/>
          <w:sz w:val="18"/>
        </w:rPr>
        <w:t>Note 9 - Shareholders' Equity</w:t>
      </w:r>
      <w:r>
        <w:rPr>
          <w:color w:val="000000"/>
        </w:rPr>
        <w:t xml:space="preserve"> </w:t>
      </w:r>
      <w:r>
        <w:rPr>
          <w:rFonts w:ascii="Arial;sans-serif" w:hAnsi="Arial;sans-serif"/>
          <w:b w:val="false"/>
          <w:color w:val="000000"/>
          <w:sz w:val="18"/>
        </w:rPr>
        <w:t>are contingently issuable and were excluded from the computation of diluted EPS for the three and six months ended June 30, 2026, as the events that would cause the Rights to become exercisable had not occurred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following table sets forth the computation of basic and diluted EPS:</w: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1454"/>
        <w:gridCol w:w="1146"/>
        <w:gridCol w:w="1150"/>
        <w:gridCol w:w="109"/>
        <w:gridCol w:w="109"/>
        <w:gridCol w:w="109"/>
        <w:gridCol w:w="275"/>
        <w:gridCol w:w="806"/>
        <w:gridCol w:w="124"/>
        <w:gridCol w:w="124"/>
        <w:gridCol w:w="124"/>
        <w:gridCol w:w="124"/>
        <w:gridCol w:w="275"/>
        <w:gridCol w:w="806"/>
        <w:gridCol w:w="124"/>
        <w:gridCol w:w="109"/>
        <w:gridCol w:w="109"/>
        <w:gridCol w:w="109"/>
        <w:gridCol w:w="275"/>
        <w:gridCol w:w="806"/>
        <w:gridCol w:w="117"/>
        <w:gridCol w:w="117"/>
        <w:gridCol w:w="117"/>
        <w:gridCol w:w="117"/>
        <w:gridCol w:w="309"/>
        <w:gridCol w:w="772"/>
        <w:gridCol w:w="117"/>
        <w:gridCol w:w="109"/>
        <w:gridCol w:w="163"/>
      </w:tblGrid>
      <w:tr>
        <w:trPr/>
        <w:tc>
          <w:tcPr>
            <w:tcW w:w="145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HF Foods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53,429,826 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52,969,037 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53,242,757 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52,853,982 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460,585 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dilutive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53,890,411 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53,414,715 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53,710,401 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52,853,982 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11 -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As of June 30, 2026, the Company had immaterial operations outside the U.S. and as such, no foreign income tax was recorded.</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For the three and six months ended June 30, 2026, the Company’s effective income tax rate of 7.7% and (4.7)%, respectively, differed from the federal statutory rate primarily as a result of investment tax credits recognized in the period, partially offset by discrete tax items, permanent differences and state income taxes. The Company’s tax provision for the six months ended June 30, 2026 includes a discrete tax expense of $122 thousand related to stock-based compensation shortfalls and $98 thousand related to the remeasurement of deferred tax assets associated with executive compensation. For the three and six months ended June 30, 2025, the Company’s effective tax rate of 50.5% and 28.7%, respectively, differed from the federal statutory rate primarily as a result of permanent differences and state income taxes, partially offset by tax credits.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12 - Related Party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5% shareholdings of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believes that Mr. Xiao Mou Zhang (“Mr. Zhang”), the former Chief Executive Officer through October 24, 2024, together with certain of his immediate family members are collectively beneficial owners of more than 5% of the Company’s outstanding common stock, and they have ownership interests in various related parties involved in (i) the distribution of food and related products to restaurants and other retailers and (ii) the supply of fresh food, frozen food, and packaging supplies to distributors.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believes that Mr. Zhou Min Ni (“Mr. Ni”), the Company’s former Co-Chief Executive Officer, together with various trusts for the benefit of Mr. Ni’s four children, are collectively beneficial owners of more than 5%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related party transactions as of June 30, 2026 and December 31, 2025 and for the six months ended June 30, 2026 and 2025, are identified as follows:</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18"/>
        </w:rPr>
      </w:pPr>
      <w:r>
        <w:rPr>
          <w:rFonts w:ascii="Arial;sans-serif" w:hAnsi="Arial;sans-serif"/>
          <w:b/>
          <w:i/>
          <w:color w:val="000000"/>
          <w:sz w:val="18"/>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Purchases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purchases of goods and services from related parties recorded for the three and six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5"/>
        <w:gridCol w:w="1078"/>
        <w:gridCol w:w="1083"/>
        <w:gridCol w:w="109"/>
        <w:gridCol w:w="109"/>
        <w:gridCol w:w="109"/>
        <w:gridCol w:w="230"/>
        <w:gridCol w:w="230"/>
        <w:gridCol w:w="231"/>
        <w:gridCol w:w="109"/>
        <w:gridCol w:w="109"/>
        <w:gridCol w:w="109"/>
        <w:gridCol w:w="228"/>
        <w:gridCol w:w="667"/>
        <w:gridCol w:w="118"/>
        <w:gridCol w:w="118"/>
        <w:gridCol w:w="118"/>
        <w:gridCol w:w="118"/>
        <w:gridCol w:w="228"/>
        <w:gridCol w:w="667"/>
        <w:gridCol w:w="118"/>
        <w:gridCol w:w="109"/>
        <w:gridCol w:w="109"/>
        <w:gridCol w:w="109"/>
        <w:gridCol w:w="219"/>
        <w:gridCol w:w="640"/>
        <w:gridCol w:w="113"/>
        <w:gridCol w:w="113"/>
        <w:gridCol w:w="113"/>
        <w:gridCol w:w="113"/>
        <w:gridCol w:w="219"/>
        <w:gridCol w:w="640"/>
        <w:gridCol w:w="113"/>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3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3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Empire Trading Investment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3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Ocean Pacific Seafood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3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Rainfield Ranches,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The Company, through its subsidiary Mountain Food, LLC, owns an equity interest in this entity.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(b)An equity interest is held by three Irrevocable Trusts for the benefit of Mr. Zhang’s children.</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(c)</w:t>
      </w:r>
      <w:r>
        <w:rPr>
          <w:rFonts w:ascii="Arial;sans-serif" w:hAnsi="Arial;sans-serif"/>
          <w:b w:val="false"/>
          <w:color w:val="000000"/>
          <w:sz w:val="16"/>
        </w:rPr>
        <w:t>Mr. Zhou Min Ni owns an equity interest in this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sales to related parties recorded for the three and six months ended June 30, 2026 and 2025,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86"/>
        <w:gridCol w:w="1386"/>
        <w:gridCol w:w="1392"/>
        <w:gridCol w:w="109"/>
        <w:gridCol w:w="109"/>
        <w:gridCol w:w="109"/>
        <w:gridCol w:w="235"/>
        <w:gridCol w:w="688"/>
        <w:gridCol w:w="121"/>
        <w:gridCol w:w="121"/>
        <w:gridCol w:w="121"/>
        <w:gridCol w:w="121"/>
        <w:gridCol w:w="235"/>
        <w:gridCol w:w="688"/>
        <w:gridCol w:w="121"/>
        <w:gridCol w:w="109"/>
        <w:gridCol w:w="109"/>
        <w:gridCol w:w="109"/>
        <w:gridCol w:w="222"/>
        <w:gridCol w:w="650"/>
        <w:gridCol w:w="115"/>
        <w:gridCol w:w="115"/>
        <w:gridCol w:w="115"/>
        <w:gridCol w:w="115"/>
        <w:gridCol w:w="222"/>
        <w:gridCol w:w="650"/>
        <w:gridCol w:w="115"/>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4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First Choice Seafood,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Fortune One Foods,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w:t>
            </w:r>
          </w:p>
        </w:tc>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Ocean Pacific Seafood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(c)</w:t>
      </w:r>
      <w:r>
        <w:rPr>
          <w:rFonts w:ascii="Arial;sans-serif" w:hAnsi="Arial;sans-serif"/>
          <w:b w:val="false"/>
          <w:color w:val="000000"/>
          <w:sz w:val="16"/>
        </w:rPr>
        <w:t>Mr. Zhou Min Ni owns an equity interest in this entity indirectly through its parent company.</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(d)</w:t>
      </w:r>
      <w:r>
        <w:rPr>
          <w:rFonts w:ascii="Arial;sans-serif" w:hAnsi="Arial;sans-serif"/>
          <w:b w:val="false"/>
          <w:color w:val="000000"/>
          <w:sz w:val="16"/>
        </w:rPr>
        <w:t>Mr. Zhou Min Ni owns an equity interest in this entity.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Lease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has a lease agreement with a related party, Asahi Food, Inc. Beginning in 2014, the Company leased a warehouse to Asahi Food, Inc. under a commercial lease agreement which was rescinded on March 1, 2020. A new commercial lease agreement was entered into, expiring September 1, 2023, with optional renewal periods. The lease term was extended by an addendum dated September 1, 2023, which extended the lease through September 1, 2025. A second addendum, executed effective September 1, 2025, was enacted during the third quarter of 2025 which extends the expiration of the lease by one year to September 1, 2026. Rental income was $72 thousand for both the six months ended June 30, 2026 and 2025, which is included in other income, net in the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Related Party Balances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accounts receivable with related parties recorded as of June 30, 2026 and December 31, 2025,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40"/>
        <w:gridCol w:w="2040"/>
        <w:gridCol w:w="2049"/>
        <w:gridCol w:w="109"/>
        <w:gridCol w:w="109"/>
        <w:gridCol w:w="109"/>
        <w:gridCol w:w="342"/>
        <w:gridCol w:w="758"/>
        <w:gridCol w:w="177"/>
        <w:gridCol w:w="109"/>
        <w:gridCol w:w="109"/>
        <w:gridCol w:w="109"/>
        <w:gridCol w:w="454"/>
        <w:gridCol w:w="1007"/>
        <w:gridCol w:w="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6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Conexus Food Solutions LLC (formerly known as Best Food Services,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(b)The Company, through its subsidiary Mountain Food, LLC, owns an equity interest in this entity.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accounts receivable from these related parties are current and considered fully collectible. No allowance is deemed necessary as of June 30, 2026 and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Line of Credit Note - Related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issued a $51,000 line of credit note to Asahi Food, Inc. on November 1, 2024, which is outstanding at June 30, 2026 and included in other current assets in the consolidated balance sheet. Interest shall accrue at a rate of 7.25% per annum with monthly payments of interest only due beginning December 1, 2024 and continuing through the first day of each calendar month until the maturity date. The note was extended for an additional twelve months during the fourth quarter and will become due on October 31, 2026. Interest income was $1,849 and $2,157 for the six 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respectively, which is included in other income, net in the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Accounts Payable - Related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the accounts payable to related parties are payable upon demand without interest. Below is a summary of accounts payable with related parties recorded as of June 30, 2026 and December 31, 2025,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38"/>
        <w:gridCol w:w="2038"/>
        <w:gridCol w:w="2046"/>
        <w:gridCol w:w="109"/>
        <w:gridCol w:w="109"/>
        <w:gridCol w:w="109"/>
        <w:gridCol w:w="343"/>
        <w:gridCol w:w="760"/>
        <w:gridCol w:w="177"/>
        <w:gridCol w:w="109"/>
        <w:gridCol w:w="109"/>
        <w:gridCol w:w="109"/>
        <w:gridCol w:w="455"/>
        <w:gridCol w:w="1009"/>
        <w:gridCol w:w="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6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13 -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2021, the Company began issuing awards under the HF Foods Group Inc. 2018 Omnibus Equity Incentive Plan (the “2018 Incentive Plan”), which reserves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As of June 30, 2026, the Company had 1,090,679 time-based vesting restricted stock units (“RSUs”) unvested, and 1,566,806 performance-based restricted stock units (“PSUs”) unvested, 1,828,673 shares of common stock vested and 2,513,842 shares remaining available for future awards under the 2018 Incentive Plan.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June 11, 2026, the Company granted an aggregate of 425,528 time-based restricted-stock awards (“RSAs”) to four participants issued from treasury stock. The RSAs have a grant date fair value of $1.88 per share, or approximately $0.8 million in the aggregate, and cliff vest on October 18, 2027, subject to the recipient’s continued service through the vesting date. Recipients hold full voting rights and nonforfeitable dividend rights with respect to the RSAs from the grant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Stock-based compensation expense was $0.6 million and $0.6 million for the three months ended June 30, 2026 and 2025, respectively. Stock-based compensation expense was $0.9 million and $1.0 million for the six months ended June 30, 2026 and 2025, respectively. Stock-based compensation expense was included in distribution, selling and administrative expenses in the Company’s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there was $5.4 million of total unrecognized compensation cost related to all non-vested outstanding RSUs, PSUs, and RSAs outstanding under the Company’s Equity Plans, with a weighted average remaining service period of 2.12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14 - Segment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business consists of one operating segment, which is also its one reportable segment. The Company operates solely in the United States and derives revenues by providing sales of food and non-food to customers. The segment’s customer base consists primarily of Asian restaurants located throughout the United States. The Company’s chief operating decision maker (“CODM”) is its chief executive officer, who reviews financial information presented on a consolidated basis. The CODM uses consolidated net income (loss) to assess financial performance and allocate resources. The Company’s measure of segment assets is total assets, as reported on the consolidated balance sheets.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selected financial information with respect to the Company’s single operating segment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6"/>
        <w:gridCol w:w="1243"/>
        <w:gridCol w:w="12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7"/>
      </w:tblGrid>
      <w:tr>
        <w:trPr/>
        <w:tc>
          <w:tcPr>
            <w:tcW w:w="188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labor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segment expenses </w:t>
            </w:r>
            <w:r>
              <w:rPr>
                <w:rFonts w:ascii="Arial;sans-serif" w:hAnsi="Arial;sans-serif"/>
                <w:b w:val="false"/>
                <w:color w:val="000000"/>
                <w:sz w:val="12"/>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AND COMPREHENSIVE INCOME (LOSS) ATTRIBUTABLE TO HF FOODS GROUP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(a)Other segment expenses include distribution, selling and administrative expenses which are not provided to the CODM on a regular basis. These expenses include primarily auto &amp; truck expense, insurance, occupancy expense and utilities.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15 - Commitments and Contingencies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AnHeart Lease Matter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connection with lease arrangements relating to properties located at 273 Fifth Avenue and 275 Fifth Avenue in Manhattan, New York, the Company previously guaranteed certain obligations of AnHeart, Inc. under those leases. Following AnHeart’s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default under the 275 Fifth Avenue lease in 2022, the Company performed under its guaranty and pursued remedies to recover amounts it believes are owed under contractual and related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February 25, 2022, the Company initiated legal proceedings against AnHeart, Inc. and Minsheng Pharmaceutical Group Company, Ltd. (“Minsheng”), who in 2019 executed on behalf of AnHeart, an unconditional guaranty of all liabilities arising from the leases, in favor of the Company. In March 2022, that proceeding was stayed in connection with certain payment commitments being made by AnHeart. After such payment commitments were not satisfied, the Company commenced a new action in New York County Supreme Court on October 25, 2023 against AnHeart and Minsheng seeking recovery of amounts alleged to be due under the relevant arrangements. The parties subsequently entered into a settlement arrangement providing for specified monthly payments through December 2025, after which regular monthly rental payments were to resume in accordance with the applicable lease terms.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continues to evaluate and pursue its rights and remedies with respect to these matters. The ultimate outcome cannot be predicted with certainty. Based on information currently available, management does not believe that the resolution of this matter will have a material adverse effect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Other Commitments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the Company had additional vehicle leases that had not yet commenced which total $3.2 million in future minimum lease 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16 - Subsequent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Acquisition of Searay Foods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July 17, 2026, the Company, HF Acquisition Newco Inc., a Delaware corporation and wholly-owned subsidiary of the Company, and HF Toro Canada Holdings Inc., a British Columbia company and wholly-owned subsidiary of the Company (collectively, the "Buyer Entities"), entered into a Securities Purchase Agreement (the "Purchase Agreement") with Searay Foods Inc. and Morgan Foods Inc., each a corporation formed under the laws of British Columbia (collectively, "Searay"), the sellers named therein (the "Sellers"), and a representative of the Sellers. Pursuant to the Purchase Agreement, the Buyer Entities will acquire 100% of the issued and outstanding securities of Searay.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aggregate base purchase price is CAD$47.9 million (approximately US$35 million based on the exchange rate in effect on the date of the Purchase Agreement), payable as (i) CAD$38.4 million in cash, subject to customary post-closing adjustments, and (ii) 1,701,871 shares of the Company's common stock to be deposited into escrow at closing. The shares to be issued will be exempt from registration under the Securities Act of 1933, as amended, in reliance on Regulation S and Regulation D thereunder. In addition, the Sellers are eligible to receive contingent earnout payments based on the achievement of specified EBITDA targets over a two- to three-year period following the closing.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closing is subject to the satisfaction or waiver of customary closing conditions, including the receipt of required regulatory approvals, and is expected to occur no later than August 31, 2026, unless the Purchase Agreement is earlier terminated or extended in accordance with its terms. In connection with the Purchase Agreement, certain key employees of Searay, including a Seller, entered into employment agreements with a subsidiary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transaction will expand the Company's operational footprint into Canada through the Vancouver, British Columbia market and will serve as the Company's first expansion into an international market outside of the United States.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Amendment to Real Estate Term Loan and Revolving Credit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July 29, 2026, the Company, its wholly-owned subsidiary B&amp;R Global Holdings, Inc., and certain other wholly-owned subsidiaries and affiliates of the Company, as borrowers, and certain material subsidiaries of the Company, as guarantors, entered into a Joinder and Amendment No. 7 (the “Seventh Amendment”) to the Third Amended and Restated Credit Agreement, dated as of March 31, 2022, as previously amended (the “Existing Credit Agreement”, and as amended by the Seventh Amendment, the “Amended Credit Agreement”), with JPMorgan Chase Bank, N.A., as Administrative Agent, and JPMorgan Chase Bank, N.A., TD Bank, N.A. and Fifth Third Bank, N.A., as lenders. In connection with the Seventh Amendment, Wells Fargo Bank, N.A. ceased to be a lender under the Amended Credit Agreement. The Seventh Amendment does not constitute a novation of the obligations under the Existing Credit Agreement, and all existing obligations thereunder continue in full force and effect as obligations under the Amended Credit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Seventh Amendment increased the revolving commitments under the Company’s asset-based revolving credit facility from $125.0 million to $140.0 million and refinanced and upsized the Company’s term loans, resulting in term loans with an aggregate outstanding principal balance of $125.0 million immediately following the closing. The revolving commitments mature on July 29, 2031, and the term loans mature on July 29, 2036. Additional information regarding the Seventh Amendment is included in the Company’s Current Report on Form 8-K filed with the Securities and Exchange Commission on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Quarterly Report on Form 10-Q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Factors that could cause or contribute to such differences include those discussed in this Quarterly Report on Form 10-Q, and in particular, the risks discussed under the caption “Risk Factors” in Item 1A and those discussed in other documents we file with the Securities and Exchange Commission (the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Overview</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 In 2022, HF Foods acquired two frozen seafood suppliers, expanding its distribution network in Illinois, Texas and along the eastern seaboard,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aim to supply the increasing demand for Asian American restaurant cuisine, leveraging our nationwide network of distribution centers and our strong relations with growers and suppliers of fresh, high-quality specialty restaurant food products and supplies primarily in North America, South America and Asia. Capitalizing on our deep understanding of the Asian culture, we have become a trusted partner serving Asian restaurants and other foodservice customers throughout the United States. We are dedicated to serving the vast array of Asian restaurants in need of high-quality and specialized food ingredients at competitive prices.</w:t>
      </w:r>
    </w:p>
    <w:p>
      <w:pPr>
        <w:pStyle w:val="TextBody"/>
        <w:bidi w:val="0"/>
        <w:spacing w:lineRule="auto" w:line="288" w:before="180" w:after="283"/>
        <w:jc w:val="both"/>
        <w:rPr>
          <w:rFonts w:ascii="Arial;sans-serif" w:hAnsi="Arial;sans-serif"/>
          <w:b/>
          <w:i/>
          <w:color w:val="000000"/>
          <w:sz w:val="18"/>
        </w:rPr>
      </w:pPr>
      <w:r>
        <w:rPr>
          <w:rFonts w:ascii="Arial;sans-serif" w:hAnsi="Arial;sans-serif"/>
          <w:b/>
          <w:i/>
          <w:color w:val="000000"/>
          <w:sz w:val="18"/>
        </w:rPr>
        <w:t>Transformation Plan</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To position the business for long-term success, starting in 2024, we initiated a comprehensive, operational transformation plan in an effort to drive growth and cost savings. Our transformation is focused on four key areas, each of which we expect will positively impact future growth or cost savings. The components of our transformation are as follows:</w:t>
      </w:r>
    </w:p>
    <w:p>
      <w:pPr>
        <w:pStyle w:val="TextBody"/>
        <w:bidi w:val="0"/>
        <w:spacing w:lineRule="auto" w:line="288" w:before="240" w:after="283"/>
        <w:ind w:left="0" w:right="0" w:hanging="360"/>
        <w:jc w:val="both"/>
        <w:rPr/>
      </w:pPr>
      <w:r>
        <w:rPr>
          <w:color w:val="000000"/>
        </w:rPr>
        <w:t>•</w:t>
      </w:r>
      <w:r>
        <w:rPr>
          <w:rFonts w:ascii="Arial;sans-serif" w:hAnsi="Arial;sans-serif"/>
          <w:b/>
          <w:color w:val="000000"/>
          <w:sz w:val="18"/>
        </w:rPr>
        <w:t xml:space="preserve">Centralized Purchasing: </w:t>
      </w:r>
      <w:r>
        <w:rPr>
          <w:rFonts w:ascii="Arial;sans-serif" w:hAnsi="Arial;sans-serif"/>
          <w:b w:val="false"/>
          <w:color w:val="000000"/>
          <w:sz w:val="18"/>
        </w:rPr>
        <w:t>Now that we’ve rolled out our centralized purchasing program with seafood and poultry products and have yielded positive results with respect to margin expansion for the product categories, we are now focusing on expanding the program to other categories such as commodities.</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18"/>
        </w:rPr>
        <w:t xml:space="preserve">Fleet and Transportation: </w:t>
      </w:r>
      <w:r>
        <w:rPr>
          <w:rFonts w:ascii="Arial;sans-serif" w:hAnsi="Arial;sans-serif"/>
          <w:b w:val="false"/>
          <w:color w:val="000000"/>
          <w:sz w:val="18"/>
        </w:rPr>
        <w:t xml:space="preserve">We have established a national fleet maintenance program that standardizes truck specifications across the organization. As part of this initiative, nearly 50% of our fleet is enrolled in national third-party fleet maintenance provider programs, ensuring consistent preventive maintenance, improved vehicle reliability, and reduced downtime. We have also launched a fleet replacement program for 50% of our current vehicles, implemented a national fuel savings initiative to maximize operating efficiency, and plan to outsource domestic inbound freight logistics to a third-party provider to create a more cohesive national supply chain. Collectively, these initiatives are expected to deliver significant improvements in the efficiency, reliability, and overall performance of our transportation network. </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18"/>
        </w:rPr>
        <w:t xml:space="preserve">Digital Transformation: </w:t>
      </w:r>
      <w:r>
        <w:rPr>
          <w:rFonts w:ascii="Arial;sans-serif" w:hAnsi="Arial;sans-serif"/>
          <w:b w:val="false"/>
          <w:color w:val="000000"/>
          <w:sz w:val="18"/>
        </w:rPr>
        <w:t>We have completed the implementation of a modern ERP solution across all of our distribution centers. The Company expects this solution to deliver enhanced operational efficiency and responsiveness, streamlined processes, and greater data driven decision-making.</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18"/>
        </w:rPr>
        <w:t xml:space="preserve">Facility Upgrades: </w:t>
      </w:r>
      <w:r>
        <w:rPr>
          <w:rFonts w:ascii="Arial;sans-serif" w:hAnsi="Arial;sans-serif"/>
          <w:b w:val="false"/>
          <w:color w:val="000000"/>
          <w:sz w:val="18"/>
        </w:rPr>
        <w:t xml:space="preserve">We continue reorganizing and upgrading some of our facilities and distribution centers to efficiently streamline costs, and to capitalize on cross-selling opportunities with both new and existing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18"/>
        </w:rPr>
      </w:pPr>
      <w:r>
        <w:rPr>
          <w:rFonts w:ascii="Arial;sans-serif" w:hAnsi="Arial;sans-serif"/>
          <w:b/>
          <w:i/>
          <w:color w:val="000000"/>
          <w:sz w:val="18"/>
        </w:rPr>
        <w:t>Financial Overview</w:t>
      </w:r>
    </w:p>
    <w:tbl>
      <w:tblPr>
        <w:tblW w:w="7135" w:type="dxa"/>
        <w:jc w:val="left"/>
        <w:tblInd w:w="0" w:type="dxa"/>
        <w:tblLayout w:type="fixed"/>
        <w:tblCellMar>
          <w:top w:w="28" w:type="dxa"/>
          <w:left w:w="28" w:type="dxa"/>
          <w:bottom w:w="28" w:type="dxa"/>
          <w:right w:w="28" w:type="dxa"/>
        </w:tblCellMar>
      </w:tblPr>
      <w:tblGrid>
        <w:gridCol w:w="738"/>
        <w:gridCol w:w="650"/>
        <w:gridCol w:w="651"/>
        <w:gridCol w:w="211"/>
        <w:gridCol w:w="828"/>
        <w:gridCol w:w="109"/>
        <w:gridCol w:w="109"/>
        <w:gridCol w:w="109"/>
        <w:gridCol w:w="109"/>
        <w:gridCol w:w="211"/>
        <w:gridCol w:w="828"/>
        <w:gridCol w:w="109"/>
        <w:gridCol w:w="109"/>
        <w:gridCol w:w="109"/>
        <w:gridCol w:w="109"/>
        <w:gridCol w:w="211"/>
        <w:gridCol w:w="691"/>
        <w:gridCol w:w="109"/>
        <w:gridCol w:w="109"/>
        <w:gridCol w:w="109"/>
        <w:gridCol w:w="109"/>
        <w:gridCol w:w="109"/>
        <w:gridCol w:w="109"/>
        <w:gridCol w:w="109"/>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additional information on our non-GAAP financial measures, EBITDA and Adjusted EBITDA, see the section entitled “EBITDA and Adjusted EBITDA”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How to Assess HF Foods’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Net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Gross Profit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EBITDA and Adjusted EBITDA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pStyle w:val="TextBody"/>
        <w:bidi w:val="0"/>
        <w:spacing w:lineRule="auto" w:line="288" w:before="240" w:after="283"/>
        <w:ind w:left="0" w:right="0" w:firstLine="180"/>
        <w:jc w:val="both"/>
        <w:rPr/>
      </w:pPr>
      <w:r>
        <w:rPr>
          <w:color w:val="000000"/>
        </w:rPr>
        <w:t>•</w:t>
      </w:r>
      <w:r>
        <w:rPr>
          <w:rFonts w:ascii="Arial;sans-serif" w:hAnsi="Arial;sans-serif"/>
          <w:b w:val="false"/>
          <w:color w:val="000000"/>
          <w:sz w:val="18"/>
        </w:rPr>
        <w:t>excludes certain tax payments that may represent a reduction in cash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18"/>
        </w:rPr>
        <w:t>does not reflect any cash capital expenditure requirements for the assets being depreciated and amortized that may have to be replaced in the future;</w:t>
      </w:r>
    </w:p>
    <w:p>
      <w:pPr>
        <w:pStyle w:val="TextBody"/>
        <w:bidi w:val="0"/>
        <w:spacing w:lineRule="auto" w:line="288" w:before="120" w:after="283"/>
        <w:ind w:left="0" w:right="0" w:firstLine="180"/>
        <w:jc w:val="both"/>
        <w:rPr/>
      </w:pPr>
      <w:r>
        <w:rPr>
          <w:color w:val="000000"/>
        </w:rPr>
        <w:t>•</w:t>
      </w:r>
      <w:r>
        <w:rPr>
          <w:rFonts w:ascii="Arial;sans-serif" w:hAnsi="Arial;sans-serif"/>
          <w:b w:val="false"/>
          <w:color w:val="000000"/>
          <w:sz w:val="18"/>
        </w:rPr>
        <w:t>does not reflect changes in, or cash requirements for, our working capital needs; and</w:t>
      </w:r>
    </w:p>
    <w:p>
      <w:pPr>
        <w:pStyle w:val="TextBody"/>
        <w:bidi w:val="0"/>
        <w:spacing w:lineRule="auto" w:line="288" w:before="120" w:after="283"/>
        <w:ind w:left="0" w:right="0" w:firstLine="180"/>
        <w:jc w:val="both"/>
        <w:rPr/>
      </w:pPr>
      <w:r>
        <w:rPr>
          <w:color w:val="000000"/>
        </w:rPr>
        <w:t>•</w:t>
      </w:r>
      <w:r>
        <w:rPr>
          <w:rFonts w:ascii="Arial;sans-serif" w:hAnsi="Arial;sans-serif"/>
          <w:b w:val="false"/>
          <w:color w:val="000000"/>
          <w:sz w:val="18"/>
        </w:rPr>
        <w:t>does not reflect the significant interest expense, or the cash requirements, necessary to service our debt.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For additional information on EBITDA and Adjusted EBITDA and a reconciliation to their most directly comparable U.S. GAAP financial measures, see “</w:t>
      </w:r>
      <w:r>
        <w:rPr>
          <w:rFonts w:ascii="Arial;sans-serif" w:hAnsi="Arial;sans-serif"/>
          <w:b w:val="false"/>
          <w:i/>
          <w:color w:val="000000"/>
          <w:sz w:val="18"/>
        </w:rPr>
        <w:t>Results of Operations — EBITDA and Adjusted EBITDA</w:t>
      </w:r>
      <w:r>
        <w:rPr>
          <w:color w:val="000000"/>
        </w:rPr>
        <w:t xml:space="preserve">” </w:t>
      </w:r>
      <w:r>
        <w:rPr>
          <w:rFonts w:ascii="Arial;sans-serif" w:hAnsi="Arial;sans-serif"/>
          <w:b w:val="false"/>
          <w:color w:val="000000"/>
          <w:sz w:val="18"/>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Comparison of Three Months Ended June 30, 2026 to Three Months Ended June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following table sets forth a summary of our consolidated results of operations for the three months ended June 30, 2026</w:t>
      </w:r>
      <w:r>
        <w:rPr>
          <w:color w:val="000000"/>
        </w:rPr>
        <w:t xml:space="preserve"> </w:t>
      </w:r>
      <w:r>
        <w:rPr>
          <w:rFonts w:ascii="Arial;sans-serif" w:hAnsi="Arial;sans-serif"/>
          <w:b w:val="false"/>
          <w:color w:val="000000"/>
          <w:sz w:val="18"/>
        </w:rPr>
        <w:t>and 2025</w:t>
      </w:r>
      <w:r>
        <w:rPr>
          <w:rFonts w:ascii="Arial;sans-serif" w:hAnsi="Arial;sans-serif"/>
          <w:b/>
          <w:color w:val="000000"/>
          <w:sz w:val="18"/>
        </w:rPr>
        <w:t>.</w:t>
      </w:r>
      <w:r>
        <w:rPr>
          <w:color w:val="000000"/>
        </w:rPr>
        <w:t xml:space="preserve"> </w:t>
      </w:r>
      <w:r>
        <w:rPr>
          <w:rFonts w:ascii="Arial;sans-serif" w:hAnsi="Arial;sans-serif"/>
          <w:b w:val="false"/>
          <w:color w:val="000000"/>
          <w:sz w:val="18"/>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2233"/>
        <w:gridCol w:w="1964"/>
        <w:gridCol w:w="1967"/>
        <w:gridCol w:w="211"/>
        <w:gridCol w:w="827"/>
        <w:gridCol w:w="109"/>
        <w:gridCol w:w="109"/>
        <w:gridCol w:w="109"/>
        <w:gridCol w:w="109"/>
        <w:gridCol w:w="211"/>
        <w:gridCol w:w="827"/>
        <w:gridCol w:w="109"/>
        <w:gridCol w:w="109"/>
        <w:gridCol w:w="109"/>
        <w:gridCol w:w="109"/>
        <w:gridCol w:w="211"/>
        <w:gridCol w:w="616"/>
        <w:gridCol w:w="109"/>
        <w:gridCol w:w="157"/>
      </w:tblGrid>
      <w:tr>
        <w:trPr/>
        <w:tc>
          <w:tcPr>
            <w:tcW w:w="2233"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and comprehensive income</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and comprehensive income attributable to HF Foods Group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sets forth the components of our consolidated results of operations expressed as a percentage of net revenue for the periods indicated:</w:t>
      </w:r>
    </w:p>
    <w:tbl>
      <w:tblPr>
        <w:tblW w:w="9278" w:type="dxa"/>
        <w:jc w:val="left"/>
        <w:tblInd w:w="0" w:type="dxa"/>
        <w:tblLayout w:type="fixed"/>
        <w:tblCellMar>
          <w:top w:w="28" w:type="dxa"/>
          <w:left w:w="28" w:type="dxa"/>
          <w:bottom w:w="28" w:type="dxa"/>
          <w:right w:w="28" w:type="dxa"/>
        </w:tblCellMar>
      </w:tblPr>
      <w:tblGrid>
        <w:gridCol w:w="2259"/>
        <w:gridCol w:w="1984"/>
        <w:gridCol w:w="1997"/>
        <w:gridCol w:w="352"/>
        <w:gridCol w:w="264"/>
        <w:gridCol w:w="536"/>
        <w:gridCol w:w="215"/>
        <w:gridCol w:w="215"/>
        <w:gridCol w:w="215"/>
        <w:gridCol w:w="352"/>
        <w:gridCol w:w="264"/>
        <w:gridCol w:w="625"/>
      </w:tblGrid>
      <w:tr>
        <w:trPr/>
        <w:tc>
          <w:tcPr>
            <w:tcW w:w="225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and comprehensive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and comprehensive income attributable to HF Foods Group Inc.</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Net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revenue for the three months ended June 30, 2026 increased by $8.9 million, or 2.8%, compared to the same period in 2025. The increase was primarily due to volume growth and pricing improvement in Seafood followed by volume growth in Commodity, partially offset by price decreases in Meat &amp; Poultry.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Gross Profit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Gross profit was $55.0 million for the three months ended June 30, 2026 compared to $55.1 million in the same period in 2025, a decrease of $0.1 million, or 0.2%. The gross profit decreased across most categories due to additional tariffs effective beginning in the third quarter of 2025. The decrease was partially offset by the IEEPA tariff refund received during the quarter. Gross profit margin for the three months ended June 30, 2026 of 17.0% declined compared to 17.5% in the same period in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Distribution, selling and administrative expenses increased by $1.2 million, or 2.4%, to $52.2 million, for the three months ended June 30, 2026. The increase is primarily due to an increase in auto &amp; truck expense due to higher fuel cost, insurance, and professional services expenses. The increase is partially offset by lower personnel expenses. Distribution, selling and administrative expenses as a percentage of net revenue decreased to 16.1% for the three months ended June 30, 2026 from 16.2% in the same period in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Interest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Interest expense for the three months ended June 30, 2026 of $2.9 million increased slightly compared to $2.8 million for the three months ended June 30, 2025. Average floating interest rates on our floating-rate debt for the three months ended June 30, 2026 decreased by approximately 0.3% on our line of credit and 0.7% on the JPMorgan Chase mortgage-secured term loan, compared to the same period in 2025. Our average daily line of credit balance increased by $12.1 million, or 22.6%, to $65.7 million for the three months ended June 30, 2026 from $53.6 million for the three months ended June 30, 2025, and our average daily JPMorgan Chase mortgage-secured term loan balance decreased by $8.2 million, or 8.3%, to $91.0 million for the three months ended June 30, 2026 from $99.2 million for the three months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Income Tax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Income tax expense was $0.2 million for the three months ended June 30, 2026, compared to an income tax expense of $0.5 million for the three months ended June 30, 2025. The decrease in income tax expense was primarily due to investment tax credits recognized during the period, partially offset by higher income before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Net Income Attributable to HF Foods Group,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income attributable to HF Foods Group, Inc. was $2.6 million for the three months ended June 30, 2026, compared to net income of $1.2 million for the three months ended June 30, 2025. The improvement was primarily driven by recognition of $1.8 million employee retention credit including interest, the IEEPA tariff refund of $1.1 million, and a positive change in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interest rate swap contracts by $1.4 million compared to 2025. These favorable variances were partially offset by $1.3 million decrease in income from operations and $0.7 million year-over-year change in net income attributable to noncontrolling interests.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EBITDA and Adjusted EBITDA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reconciles EBITDA and Adjusted EBITDA to the most directly comparable GAAP measure:</w:t>
      </w:r>
    </w:p>
    <w:tbl>
      <w:tblPr>
        <w:tblW w:w="9009" w:type="dxa"/>
        <w:jc w:val="left"/>
        <w:tblInd w:w="0" w:type="dxa"/>
        <w:tblLayout w:type="fixed"/>
        <w:tblCellMar>
          <w:top w:w="28" w:type="dxa"/>
          <w:left w:w="28" w:type="dxa"/>
          <w:bottom w:w="28" w:type="dxa"/>
          <w:right w:w="28" w:type="dxa"/>
        </w:tblCellMar>
      </w:tblPr>
      <w:tblGrid>
        <w:gridCol w:w="1538"/>
        <w:gridCol w:w="1351"/>
        <w:gridCol w:w="1356"/>
        <w:gridCol w:w="109"/>
        <w:gridCol w:w="109"/>
        <w:gridCol w:w="109"/>
        <w:gridCol w:w="467"/>
        <w:gridCol w:w="337"/>
        <w:gridCol w:w="339"/>
        <w:gridCol w:w="241"/>
        <w:gridCol w:w="241"/>
        <w:gridCol w:w="241"/>
        <w:gridCol w:w="467"/>
        <w:gridCol w:w="386"/>
        <w:gridCol w:w="290"/>
        <w:gridCol w:w="109"/>
        <w:gridCol w:w="109"/>
        <w:gridCol w:w="109"/>
        <w:gridCol w:w="376"/>
        <w:gridCol w:w="284"/>
        <w:gridCol w:w="287"/>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Business transformation costs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non-routine expense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Executive transition and organizational redesign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13,569</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    Represents costs associated with the launch and continued implementation of strategic projects including supply chain management improvements and technology infrastructure initiatives. </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(2)    Includes legal and consulting expenses incurred in connection with various corporate projects and other strategic initiatives. </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(3)    Includes severance and related expenses for the Company’s transition of executive officers and organizational redesign.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Comparison of Six Months Ended June 30, 2026 to Six Months Ended June 30,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summary of our consolidated results of operations for the six months ended June 30, 2026 and 2025. 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2186"/>
        <w:gridCol w:w="1894"/>
        <w:gridCol w:w="1873"/>
        <w:gridCol w:w="211"/>
        <w:gridCol w:w="826"/>
        <w:gridCol w:w="109"/>
        <w:gridCol w:w="109"/>
        <w:gridCol w:w="109"/>
        <w:gridCol w:w="109"/>
        <w:gridCol w:w="211"/>
        <w:gridCol w:w="826"/>
        <w:gridCol w:w="109"/>
        <w:gridCol w:w="109"/>
        <w:gridCol w:w="109"/>
        <w:gridCol w:w="109"/>
        <w:gridCol w:w="211"/>
        <w:gridCol w:w="721"/>
        <w:gridCol w:w="109"/>
        <w:gridCol w:w="109"/>
        <w:gridCol w:w="156"/>
      </w:tblGrid>
      <w:tr>
        <w:trPr/>
        <w:tc>
          <w:tcPr>
            <w:tcW w:w="2186"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and comprehensive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and comprehensive income (loss) attributable to HF Foods Group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following table sets forth the components of our consolidated results of operations expressed as a percentage of net revenue for the periods indicated:</w:t>
      </w:r>
    </w:p>
    <w:tbl>
      <w:tblPr>
        <w:tblW w:w="10115" w:type="dxa"/>
        <w:jc w:val="left"/>
        <w:tblInd w:w="0" w:type="dxa"/>
        <w:tblLayout w:type="fixed"/>
        <w:tblCellMar>
          <w:top w:w="28" w:type="dxa"/>
          <w:left w:w="28" w:type="dxa"/>
          <w:bottom w:w="28" w:type="dxa"/>
          <w:right w:w="28" w:type="dxa"/>
        </w:tblCellMar>
      </w:tblPr>
      <w:tblGrid>
        <w:gridCol w:w="2617"/>
        <w:gridCol w:w="2299"/>
        <w:gridCol w:w="2313"/>
        <w:gridCol w:w="352"/>
        <w:gridCol w:w="264"/>
        <w:gridCol w:w="491"/>
        <w:gridCol w:w="197"/>
        <w:gridCol w:w="197"/>
        <w:gridCol w:w="197"/>
        <w:gridCol w:w="352"/>
        <w:gridCol w:w="264"/>
        <w:gridCol w:w="572"/>
      </w:tblGrid>
      <w:tr>
        <w:trPr/>
        <w:tc>
          <w:tcPr>
            <w:tcW w:w="2617"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and comprehensive income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and comprehensive income (loss) attributable to HF Foods Group Inc.</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shd w:fill="FFFFFF" w:val="clear"/>
        </w:rPr>
      </w:pPr>
      <w:r>
        <w:rPr>
          <w:rFonts w:ascii="Arial;sans-serif" w:hAnsi="Arial;sans-serif"/>
          <w:b/>
          <w:i/>
          <w:color w:val="000000"/>
          <w:sz w:val="18"/>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Net revenue for the </w:t>
      </w:r>
      <w:r>
        <w:rPr>
          <w:rFonts w:ascii="Arial;sans-serif" w:hAnsi="Arial;sans-serif"/>
          <w:b w:val="false"/>
          <w:color w:val="000000"/>
          <w:sz w:val="18"/>
        </w:rPr>
        <w:t>six months ended June 30, 2026</w:t>
      </w:r>
      <w:r>
        <w:rPr>
          <w:color w:val="000000"/>
          <w:shd w:fill="FFFFFF" w:val="clear"/>
        </w:rPr>
        <w:t xml:space="preserve"> </w:t>
      </w:r>
      <w:r>
        <w:rPr>
          <w:rFonts w:ascii="Arial;sans-serif" w:hAnsi="Arial;sans-serif"/>
          <w:b w:val="false"/>
          <w:color w:val="000000"/>
          <w:sz w:val="18"/>
          <w:shd w:fill="FFFFFF" w:val="clear"/>
        </w:rPr>
        <w:t>increased by $22.5 million, or 3.7%, compared to the same period in 2025. T</w:t>
      </w:r>
      <w:r>
        <w:rPr>
          <w:rFonts w:ascii="Arial;sans-serif" w:hAnsi="Arial;sans-serif"/>
          <w:b w:val="false"/>
          <w:color w:val="000000"/>
          <w:sz w:val="18"/>
        </w:rPr>
        <w:t>he increase was primarily attributable to volume growth and improved pricing in Seafood and Commodity, partially offset by price decrease in Meat &amp; Poultry and volume decreases in Asian Specialty.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Gross Profit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Gross profit was $105.6 million for the six months ended June 30, 2026 compared to $106.1 million in the same period in </w:t>
      </w:r>
      <w:r>
        <w:rPr>
          <w:rFonts w:ascii="Arial;sans-serif" w:hAnsi="Arial;sans-serif"/>
          <w:b w:val="false"/>
          <w:color w:val="000000"/>
          <w:sz w:val="18"/>
          <w:shd w:fill="FFFFFF" w:val="clear"/>
        </w:rPr>
        <w:t>2025</w:t>
      </w:r>
      <w:r>
        <w:rPr>
          <w:rFonts w:ascii="Arial;sans-serif" w:hAnsi="Arial;sans-serif"/>
          <w:b w:val="false"/>
          <w:color w:val="000000"/>
          <w:sz w:val="18"/>
        </w:rPr>
        <w:t xml:space="preserve">, an decrease of $0.5 million, or </w:t>
      </w:r>
      <w:r>
        <w:rPr>
          <w:rFonts w:ascii="Arial;sans-serif" w:hAnsi="Arial;sans-serif"/>
          <w:b w:val="false"/>
          <w:color w:val="000000"/>
          <w:sz w:val="18"/>
          <w:shd w:fill="FFFFFF" w:val="clear"/>
        </w:rPr>
        <w:t>0.5%</w:t>
      </w:r>
      <w:r>
        <w:rPr>
          <w:rFonts w:ascii="Arial;sans-serif" w:hAnsi="Arial;sans-serif"/>
          <w:b w:val="false"/>
          <w:color w:val="000000"/>
          <w:sz w:val="18"/>
        </w:rPr>
        <w:t>. The gross profit decreased across most categories primarily due to additional tariff effective beginning the third quarter 2025. The decrease was offset by the IEEPA tariff refund received during the current quarter. Gross profit margin for the six months ended June 30, 2026 decreased slightly to 16.6% compared to 17.3% in the same period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Distribution, selling and administrative expenses of $101.7 million for the six months ended June 30, 2026 increased by $0.9 million, or 0.9%, in 2026 compared to $100.8 million in 2025, mainly due to increases in auto &amp; truck expenses of $2.0 million and insurance expense of $0.4 million partially offset by a reduction in personnel expense of $0.8 million and professional expenses of $0.6 million. Distribution, selling and administrative expenses as a percentage of net revenue decreased slightly to 16.0% in 2026 compared to 16.4%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Interest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Interest expense for the six months ended June 30, 2026 increased slightly to $5.73 million, compared to $5.43 million for the six months ended June 30, 2025, an increase of $0.30 million or 5.6%. The increase was driven by an increase in our average daily line of credit balance of $10.1 million, partially offset by a decrease in our average daily JPMorgan Chase mortgage-secured term loan balance of $7.5 million combined with a slightly lower interest-rate environment. Average floating interest rates on our floating-rate debt for the six months ended June 30, 2026 decreased by approximately 0.5% on the line of credit and 0.7% on the JPMorgan Chase mortgage-secured term loan, compared to 2025. Our average daily line of credit balance was $61.3 million for the six months ended June 30, 2026, up from $51.2 million for the six months ended June 30, 2025, while our average daily JPMorgan Chase mortgage-secured term loan balance decreased to $92.3 million for the six months ended June 30, 2026 from $99.8 million for the six months ended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Income Tax Benefit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Income tax benefit was $0.2 million for the six months ended June 30, 2026, compared to an income tax benefit of $0.4 million for the six months ended June 30, 2025. The change was primarily due to higher income before income taxes and discrete tax expense items related to stock-based compensation shortfalls and the remeasurement of deferred tax assets associated with executive compensation, partially offset by investment tax credits recognized during the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Net Income (Loss) Attributable to HF Foods Group,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income attributable to HF Foods Group Inc. was $3.8 million for the six months ended June 30, 2026, compared to a net loss of $0.4 million for the six months ended June 30, 2025. The $4.2 million improvement was primarily attributable to a $1.4 million gain on the Utah building sale, recognition of employee retention credit of $1.8 million including interest, the IEEPA tariff refund of $1.1 million, and a $3.4 million favorable year-over-year change in fair value of interest rate swap. These favorable variances were partially offset by a $1.4 million decrease in operating income, a $0.2 million unfavorable change in income taxes, and a $0.8 million year-over-year change in net income attributable to noncontrolling interests.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EBITDA and Adjusted EBITDA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reconciles EBITDA and Adjusted EBITDA to the most directly comparable GAAP measure:</w:t>
      </w:r>
    </w:p>
    <w:tbl>
      <w:tblPr>
        <w:tblW w:w="8880" w:type="dxa"/>
        <w:jc w:val="left"/>
        <w:tblInd w:w="0" w:type="dxa"/>
        <w:tblLayout w:type="fixed"/>
        <w:tblCellMar>
          <w:top w:w="28" w:type="dxa"/>
          <w:left w:w="28" w:type="dxa"/>
          <w:bottom w:w="28" w:type="dxa"/>
          <w:right w:w="28" w:type="dxa"/>
        </w:tblCellMar>
      </w:tblPr>
      <w:tblGrid>
        <w:gridCol w:w="1537"/>
        <w:gridCol w:w="1353"/>
        <w:gridCol w:w="1355"/>
        <w:gridCol w:w="109"/>
        <w:gridCol w:w="109"/>
        <w:gridCol w:w="109"/>
        <w:gridCol w:w="427"/>
        <w:gridCol w:w="337"/>
        <w:gridCol w:w="339"/>
        <w:gridCol w:w="220"/>
        <w:gridCol w:w="220"/>
        <w:gridCol w:w="220"/>
        <w:gridCol w:w="427"/>
        <w:gridCol w:w="344"/>
        <w:gridCol w:w="346"/>
        <w:gridCol w:w="109"/>
        <w:gridCol w:w="109"/>
        <w:gridCol w:w="109"/>
        <w:gridCol w:w="376"/>
        <w:gridCol w:w="284"/>
        <w:gridCol w:w="287"/>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14,981</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23,807</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Stock-based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Business transformation costs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non-routine (income) expense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Executive transition and organizational redesign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23,715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    Represents costs associated with the launch and continued implementation of strategic projects including supply chain management improvements and technology infrastructure initiatives.</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    Includes legal and consulting costs related to various corporate projects and other strategic initiatives, for the six months ended June 30, 2026 it includes the gain on the sale of the Utah facility.</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(3)    Includes severance and related expenses for the Company’s transition of executive officers and organizational redesign.</w:t>
      </w:r>
    </w:p>
    <w:p>
      <w:pPr>
        <w:pStyle w:val="TextBody"/>
        <w:bidi w:val="0"/>
        <w:spacing w:before="12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we had cash of approximately $18.1 million, checks issued not presented for payment of $5.6 million and access to approximately $39.7 million in additional funds through our $125.0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June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Management believes we have sufficient access to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capital investment plans, liquidating assets, obtaining additional debt or equity capital, or refinancing all or a portion of our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June 30, 2026, we have no off-balance sheet arrangements that currently have or are reasonably likely to have a material effect on our consolidated financial position, changes in financial condition, results of operations, liquidity, capital expenditures or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cash flow data for the six months ended June 30, 2026 and 2025:</w:t>
      </w:r>
    </w:p>
    <w:tbl>
      <w:tblPr>
        <w:tblW w:w="7980" w:type="dxa"/>
        <w:jc w:val="left"/>
        <w:tblInd w:w="0" w:type="dxa"/>
        <w:tblLayout w:type="fixed"/>
        <w:tblCellMar>
          <w:top w:w="28" w:type="dxa"/>
          <w:left w:w="28" w:type="dxa"/>
          <w:bottom w:w="28" w:type="dxa"/>
          <w:right w:w="28" w:type="dxa"/>
        </w:tblCellMar>
      </w:tblPr>
      <w:tblGrid>
        <w:gridCol w:w="1502"/>
        <w:gridCol w:w="1324"/>
        <w:gridCol w:w="1328"/>
        <w:gridCol w:w="211"/>
        <w:gridCol w:w="721"/>
        <w:gridCol w:w="109"/>
        <w:gridCol w:w="109"/>
        <w:gridCol w:w="109"/>
        <w:gridCol w:w="109"/>
        <w:gridCol w:w="211"/>
        <w:gridCol w:w="721"/>
        <w:gridCol w:w="109"/>
        <w:gridCol w:w="109"/>
        <w:gridCol w:w="109"/>
        <w:gridCol w:w="109"/>
        <w:gridCol w:w="211"/>
        <w:gridCol w:w="616"/>
        <w:gridCol w:w="109"/>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consists primarily of net income (loss) adjusted for non-cash items, including depreciation and amortization, changes in deferred income taxes and others, and includes the effect of working capital changes. Net cash provided by operating activities increased by $3.6 million primarily due to higher income, driven by an increase in other income, and favorable changes in accrued expenses. These favorable impacts were partially offset by lower non-cash expense add-backs, which reduced the adjustments added back to net income in the determination of operating cash flows.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Investing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Net cash used in investing activities increased by $9.5 million primarily due to increased capital project spending including the purchases of warehouse buildings which were previously leased in the six months ended June 30, 2026, partially offset by proceeds from the sale of the Utah property (see </w:t>
      </w:r>
      <w:r>
        <w:rPr>
          <w:rFonts w:ascii="Arial;sans-serif" w:hAnsi="Arial;sans-serif"/>
          <w:b w:val="false"/>
          <w:i/>
          <w:color w:val="000000"/>
          <w:sz w:val="18"/>
        </w:rPr>
        <w:t>Note 4 - Balance Sheet Components</w:t>
      </w:r>
      <w:r>
        <w:rPr>
          <w:color w:val="000000"/>
        </w:rPr>
        <w:t xml:space="preserve"> </w:t>
      </w:r>
      <w:r>
        <w:rPr>
          <w:rFonts w:ascii="Arial;sans-serif" w:hAnsi="Arial;sans-serif"/>
          <w:b w:val="false"/>
          <w:color w:val="000000"/>
          <w:sz w:val="18"/>
        </w:rPr>
        <w:t>for additional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cash provided by financing activities of $11.5 million during the six months ended June 30, 2026 as compared to $2.7 million net cash used in financing activities for the six months ended June 30, 2025 was primarily due to the higher overall net proceeds from line of credit activity, offset by overall lower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2025 Annual Report includes a summary of the critical accounting policies and estimates we believe are the most important to aid in understanding our financial results. There have been no changes to those critical accounting policies and estimates that have had a material impact on our reported amounts of assets, liabilities, revenue, or expenses during the six months ended June 30, 2026.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8"/>
          <w:u w:val="single"/>
        </w:rPr>
      </w:pPr>
      <w:r>
        <w:rPr>
          <w:rFonts w:ascii="Arial;sans-serif" w:hAnsi="Arial;sans-serif"/>
          <w:b/>
          <w:color w:val="000000"/>
          <w:sz w:val="18"/>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For a discussion of recent accounting pronouncements, see </w:t>
      </w:r>
      <w:r>
        <w:rPr>
          <w:rFonts w:ascii="Arial;sans-serif" w:hAnsi="Arial;sans-serif"/>
          <w:b w:val="false"/>
          <w:i/>
          <w:color w:val="000000"/>
          <w:sz w:val="18"/>
        </w:rPr>
        <w:t>Note 2 - Summary of Significant Accounting Policies</w:t>
      </w:r>
      <w:r>
        <w:rPr>
          <w:color w:val="000000"/>
        </w:rPr>
        <w:t xml:space="preserve"> </w:t>
      </w:r>
      <w:r>
        <w:rPr>
          <w:rFonts w:ascii="Arial;sans-serif" w:hAnsi="Arial;sans-serif"/>
          <w:b w:val="false"/>
          <w:color w:val="000000"/>
          <w:sz w:val="18"/>
        </w:rPr>
        <w:t>to the condensed consolidated financial statements in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Arial;sans-serif" w:hAnsi="Arial;sans-serif"/>
          <w:b w:val="false"/>
          <w:i/>
          <w:color w:val="000000"/>
          <w:sz w:val="18"/>
        </w:rPr>
        <w:t xml:space="preserve">Note 7 - Derivative Financial Instruments </w:t>
      </w:r>
      <w:r>
        <w:rPr>
          <w:rFonts w:ascii="Arial;sans-serif" w:hAnsi="Arial;sans-serif"/>
          <w:b w:val="false"/>
          <w:color w:val="000000"/>
          <w:sz w:val="18"/>
        </w:rPr>
        <w:t>to the consolidated financial statements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As of June 30, 2026, our aggregate floating rate debt’s outstanding principal balance without hedging was $79.2 million, or 44.5% of total debt, consisting primarily of our revolving line of credit (see </w:t>
      </w:r>
      <w:r>
        <w:rPr>
          <w:rFonts w:ascii="Arial;sans-serif" w:hAnsi="Arial;sans-serif"/>
          <w:b w:val="false"/>
          <w:i/>
          <w:color w:val="000000"/>
          <w:sz w:val="18"/>
        </w:rPr>
        <w:t>Note 8 - Long-Term Debt</w:t>
      </w:r>
      <w:r>
        <w:rPr>
          <w:color w:val="000000"/>
        </w:rPr>
        <w:t xml:space="preserve"> </w:t>
      </w:r>
      <w:r>
        <w:rPr>
          <w:rFonts w:ascii="Arial;sans-serif" w:hAnsi="Arial;sans-serif"/>
          <w:b w:val="false"/>
          <w:color w:val="000000"/>
          <w:sz w:val="18"/>
        </w:rPr>
        <w:t>to the consolidated financial statements in this Quarterly Report on Form 10-Q). Our floating rate debt interest is based on the floating 1-month SOFR plus a predetermined credit adjustment rate plus the bank spread. The remaining 55.5% of our debt is on a fixed rate or a floating rate with hedging. In a hypothetical scenario, a 1% change in the applicable rate would cause the interest expense on our floating rate debt to change by approximately $0.8 million per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Fuel Price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however, an inability to procure sufficient quantities of fuel or a significant increase in the price of fuel could have a material adverse impact on our financial performance. Average fuel prices in the second quarter of 2026 increased 50.3% in comparison to average prices in the same period in 2025.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do not actively hedge the price fluctuation of diesel fuel in general. Instead, we seek to minimize fuel cost risk through delivery route optimization and fleet utilization improvement.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management, including our principal executive officer and principal financial and accounting officer, conducted an evaluation of the effectiveness of our disclosure controls and procedures, as such term is defined in Rules 13a-15(e) and 15d-15(e) under the Exchange Act, as of June 30, 2026. Based on that evaluation, our principal executive officer and principal financial and accounting officer concluded that, due to the material weaknesses in internal control over financial reporting described below, our disclosure controls and procedures were not effective at the reasonable assurance level as of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Notwithstanding the material weaknesses, management has concluded that the consolidated financial statements included in this Quarterly Report on Form 10-Q present fairly, in all material respects, the Company’s financial position, results of operations and cash flows in conformity with U.S.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Previously Reported Material Weaknesses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previously disclosed in our 2025 Annual Report, management identified material weaknesses in internal control over financial reporting related to entity-level controls impacting the control activities and monitoring components of the COSO framework. These entity-level deficiencies resulted in the following material weaknesses over certain aspects of financial reporting, including controls related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recording of revenue and accounts receivable;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review of journal entries;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accounting for new leases;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impairment analysis of long-lived assets, including the review of underlying data and assumptions for completeness and accuracy.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material weaknesses continued to exist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Remediation Activities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During the second quarter of 2026, management continued executing its remediation plan under the oversight of the Audit Committee of the Board of Directors. The Company’s remediation efforts are focused on strengthening accounting-related controls, improving review precision, enhancing evidence of review, and validating the completeness and accuracy of key data used in control execution.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Management’s remediation efforts during 2026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Strengthening controls over revenue recognition and accounts receivable, including invoice validation, reconciliation procedures, and monitoring of revenue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enhancing controls over lease accounting and long-lived asset impairment assessments, including review of key inputs, assumptions, and supporting data;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improving the precision and consistency of journal entry review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Management believes these actions are designed to improve the effectiveness of internal control over financial reporting. However, the material weaknesses will not be considered remediated until the applicable controls have been designed, implemented and operated effectively for a sufficient period of time, and management has completed testing to support that conclusion.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Changes in Internal Controls Over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Other than the ongoing remediation activities described above, 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120" w:after="283"/>
        <w:jc w:val="both"/>
        <w:rPr/>
      </w:pPr>
      <w:r>
        <w:rPr>
          <w:rFonts w:ascii="Arial;sans-serif" w:hAnsi="Arial;sans-serif"/>
          <w:b w:val="false"/>
          <w:color w:val="000000"/>
          <w:sz w:val="18"/>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Arial;sans-serif" w:hAnsi="Arial;sans-serif"/>
          <w:b w:val="false"/>
          <w:i/>
          <w:color w:val="000000"/>
          <w:sz w:val="18"/>
        </w:rPr>
        <w:t>Note 15 - Commitments and Contingencies</w:t>
      </w:r>
      <w:r>
        <w:rPr>
          <w:color w:val="000000"/>
        </w:rPr>
        <w:t xml:space="preserve"> </w:t>
      </w:r>
      <w:r>
        <w:rPr>
          <w:rFonts w:ascii="Arial;sans-serif" w:hAnsi="Arial;sans-serif"/>
          <w:b w:val="false"/>
          <w:color w:val="000000"/>
          <w:sz w:val="18"/>
        </w:rPr>
        <w:t>to our condensed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have been no material changes from the risk factors disclosed in Item 1A of our 2025 Annual Report other than the below item.</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Our stockholder rights plan could delay or prevent a change of control that our stockholders may consider favorable and could adversely affect the market price of our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June 11, 2026, our Board of Directors adopted a limited-duration stockholder rights plan and declared a dividend of one preferred share purchase right for each outstanding share of our common stock. The rights generally become exercisable if a person or group acquires beneficial ownership of 15% or more of our outstanding common stock in a transaction not approved by our Board, in which case holders other than the acquiring person would be entitled to purchase our common stock at a substantial discount, resulting in significant dilution to the acquiring person. The rights plan is intended to protect stockholders from unreported group formation and unsolicited takeover efforts that our Board believes do not offer adequate value, but it may also have the effect of deterring, delaying, or preventing a change of control, including an acquisition that some or all of our stockholders might consider beneficial or that would result in a premium over the market price of our common stock. The existence of the rights plan may also limit the price that investors are willing to pay for our common stock, and could discourage proxy contests or make it more difficult for stockholders to replace members of our Board or management. The rights plan is scheduled to expire on June 10, 2027, unless earlier redeemed, exchanged, or terminated, and our Board may extend, amend, or terminate the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2.    Unregistered Sales of Equity Securities and Use of Proceeds from Registered Securities.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3.    Defaults Upon Senior Securities.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4.    Mine Safety Disclosures.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5.    Other Information.</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Securities Trading Plans of Directors and Executive Officers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During the quarter ended June 30, 2026, none of our officers or directors adopted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exhibits are incorporated herein by reference or are filed or furnished with this report as indicated below:</w:t>
      </w:r>
    </w:p>
    <w:tbl>
      <w:tblPr>
        <w:tblW w:w="10205" w:type="dxa"/>
        <w:jc w:val="left"/>
        <w:tblInd w:w="0" w:type="dxa"/>
        <w:tblLayout w:type="fixed"/>
        <w:tblCellMar>
          <w:top w:w="28" w:type="dxa"/>
          <w:left w:w="28" w:type="dxa"/>
          <w:bottom w:w="28" w:type="dxa"/>
          <w:right w:w="28" w:type="dxa"/>
        </w:tblCellMar>
      </w:tblPr>
      <w:tblGrid>
        <w:gridCol w:w="340"/>
        <w:gridCol w:w="298"/>
        <w:gridCol w:w="299"/>
        <w:gridCol w:w="109"/>
        <w:gridCol w:w="109"/>
        <w:gridCol w:w="109"/>
        <w:gridCol w:w="2107"/>
        <w:gridCol w:w="1916"/>
        <w:gridCol w:w="1936"/>
        <w:gridCol w:w="109"/>
        <w:gridCol w:w="109"/>
        <w:gridCol w:w="109"/>
        <w:gridCol w:w="185"/>
        <w:gridCol w:w="185"/>
        <w:gridCol w:w="186"/>
        <w:gridCol w:w="118"/>
        <w:gridCol w:w="118"/>
        <w:gridCol w:w="118"/>
        <w:gridCol w:w="230"/>
        <w:gridCol w:w="230"/>
        <w:gridCol w:w="231"/>
        <w:gridCol w:w="118"/>
        <w:gridCol w:w="118"/>
        <w:gridCol w:w="118"/>
        <w:gridCol w:w="202"/>
        <w:gridCol w:w="202"/>
        <w:gridCol w:w="296"/>
      </w:tblGrid>
      <w:tr>
        <w:trPr/>
        <w:tc>
          <w:tcPr>
            <w:tcW w:w="3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Incorporated by Reference</w:t>
            </w:r>
          </w:p>
        </w:tc>
      </w:tr>
      <w:tr>
        <w:trP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Filing Date</w:t>
            </w:r>
          </w:p>
        </w:tc>
      </w:tr>
      <w:tr>
        <w:trPr/>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Second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11/5/2019</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3.02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11/4/2022</w:t>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First Amendment to Amended and Restated Bylaws, dated April 25,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4/26/2023</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Certificate of Designation of Rights, Preferences and Privileges of Series A Participating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4/12/2023</w:t>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80"/>
                  <w:sz w:val="18"/>
                  <w:u w:val="single"/>
                </w:rPr>
                <w:t>C</w:t>
              </w:r>
            </w:hyperlink>
            <w:hyperlink r:id="rId13">
              <w:r>
                <w:rPr>
                  <w:rStyle w:val="InternetLink"/>
                  <w:rFonts w:ascii="Arial;sans-serif" w:hAnsi="Arial;sans-serif"/>
                  <w:b w:val="false"/>
                  <w:color w:val="000080"/>
                  <w:sz w:val="18"/>
                  <w:u w:val="single"/>
                </w:rPr>
                <w:t>ertificate of Designation of Rights, Preferences Privileges of Series AA Participating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6/12/2026</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8"/>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S-1/A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7/28/2017</w:t>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Form of Unit Purchase Option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S-1/A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7/28/2017</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80"/>
                  <w:sz w:val="18"/>
                  <w:u w:val="single"/>
                </w:rPr>
                <w:t>P</w:t>
              </w:r>
            </w:hyperlink>
            <w:hyperlink r:id="rId20">
              <w:r>
                <w:rPr>
                  <w:rStyle w:val="InternetLink"/>
                  <w:rFonts w:ascii="Arial;sans-serif" w:hAnsi="Arial;sans-serif"/>
                  <w:b w:val="false"/>
                  <w:color w:val="000080"/>
                  <w:sz w:val="18"/>
                  <w:u w:val="single"/>
                </w:rPr>
                <w:t>referred Stock Rights Agreement, dated as of June 12, 2026, by and between HF Foods Group Inc. and Equiniti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6/12/2026</w:t>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80"/>
                  <w:sz w:val="18"/>
                  <w:u w:val="single"/>
                </w:rPr>
                <w:t>S</w:t>
              </w:r>
            </w:hyperlink>
            <w:hyperlink r:id="rId23">
              <w:r>
                <w:rPr>
                  <w:rStyle w:val="InternetLink"/>
                  <w:rFonts w:ascii="Arial;sans-serif" w:hAnsi="Arial;sans-serif"/>
                  <w:b w:val="false"/>
                  <w:color w:val="000080"/>
                  <w:sz w:val="18"/>
                  <w:u w:val="single"/>
                </w:rPr>
                <w:t>ecurities Purchase Agreement, dated as of July 17, 2026, by and among HF Foods Group inc., HF Acquis</w:t>
              </w:r>
            </w:hyperlink>
            <w:hyperlink r:id="rId24">
              <w:r>
                <w:rPr>
                  <w:rStyle w:val="InternetLink"/>
                  <w:rFonts w:ascii="Arial;sans-serif" w:hAnsi="Arial;sans-serif"/>
                  <w:b w:val="false"/>
                  <w:color w:val="000080"/>
                  <w:sz w:val="18"/>
                  <w:u w:val="single"/>
                </w:rPr>
                <w:t>ition Newco Inc., HF Toro Canada Holdings Inc., Searay Foods Inc., Morgan Foods Inc., the Sellers named therein, and Jackie Chi Fai Chan, as Sellers Representative.</w:t>
              </w:r>
            </w:hyperlink>
            <w:r>
              <w:rPr>
                <w:color w:val="000000"/>
              </w:rPr>
              <w:t xml:space="preserve"> †</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7/23/2026</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8"/>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80"/>
                  <w:sz w:val="18"/>
                  <w:u w:val="single"/>
                </w:rPr>
                <w:t xml:space="preserve">Joinder and Amendment </w:t>
              </w:r>
            </w:hyperlink>
            <w:hyperlink r:id="rId27">
              <w:r>
                <w:rPr>
                  <w:rStyle w:val="InternetLink"/>
                  <w:rFonts w:ascii="Arial;sans-serif" w:hAnsi="Arial;sans-serif"/>
                  <w:b w:val="false"/>
                  <w:color w:val="000080"/>
                  <w:sz w:val="18"/>
                  <w:u w:val="single"/>
                </w:rPr>
                <w:t>No. 7 to Third Amended and Restated Credit Agreement, dated as of July 29, 2026, by and among HF Foods Group Inc. B&amp;R Global Holdings Inc.,</w:t>
              </w:r>
            </w:hyperlink>
            <w:hyperlink r:id="rId28">
              <w:r>
                <w:rPr>
                  <w:rStyle w:val="InternetLink"/>
                  <w:rFonts w:ascii="Arial;sans-serif" w:hAnsi="Arial;sans-serif"/>
                  <w:b w:val="false"/>
                  <w:color w:val="000080"/>
                  <w:sz w:val="18"/>
                  <w:u w:val="single"/>
                </w:rPr>
                <w:t xml:space="preserve"> subsidiaries of the Company, JPM</w:t>
              </w:r>
            </w:hyperlink>
            <w:hyperlink r:id="rId29">
              <w:r>
                <w:rPr>
                  <w:rStyle w:val="InternetLink"/>
                  <w:rFonts w:ascii="Arial;sans-serif" w:hAnsi="Arial;sans-serif"/>
                  <w:b w:val="false"/>
                  <w:color w:val="000080"/>
                  <w:sz w:val="18"/>
                  <w:u w:val="single"/>
                </w:rPr>
                <w:t>organ Chase Bank, N.A. as Administrative Agent</w:t>
              </w:r>
            </w:hyperlink>
            <w:hyperlink r:id="rId30">
              <w:r>
                <w:rPr>
                  <w:rStyle w:val="InternetLink"/>
                  <w:rFonts w:ascii="Arial;sans-serif" w:hAnsi="Arial;sans-serif"/>
                  <w:b w:val="false"/>
                  <w:color w:val="000080"/>
                  <w:sz w:val="18"/>
                  <w:u w:val="single"/>
                </w:rPr>
                <w:t>, and certain lender parties thereto.</w:t>
              </w:r>
            </w:hyperlink>
            <w:r>
              <w:rPr>
                <w:color w:val="000000"/>
              </w:rPr>
              <w:t xml:space="preserve"> †</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7/31/2026</w:t>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2q-ex311.htm">
              <w:r>
                <w:rPr>
                  <w:rStyle w:val="InternetLink"/>
                  <w:rFonts w:ascii="Arial;sans-serif" w:hAnsi="Arial;sans-serif"/>
                  <w:b w:val="false"/>
                  <w:color w:val="0000FF"/>
                  <w:sz w:val="18"/>
                  <w:u w:val="single"/>
                </w:rPr>
                <w:t>31.1</w:t>
              </w:r>
            </w:hyperlink>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2q-ex311.htm">
              <w:r>
                <w:rPr>
                  <w:rStyle w:val="InternetLink"/>
                  <w:rFonts w:ascii="Arial;sans-serif" w:hAnsi="Arial;sans-serif"/>
                  <w:b w:val="false"/>
                  <w:color w:val="0000FF"/>
                  <w:sz w:val="18"/>
                  <w:u w:val="single"/>
                </w:rPr>
                <w:t>Certification of Chief Executive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2q-ex312.htm">
              <w:r>
                <w:rPr>
                  <w:rStyle w:val="InternetLink"/>
                  <w:rFonts w:ascii="Arial;sans-serif" w:hAnsi="Arial;sans-serif"/>
                  <w:b w:val="false"/>
                  <w:color w:val="0000FF"/>
                  <w:sz w:val="18"/>
                  <w:u w:val="single"/>
                </w:rPr>
                <w:t>31.2</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2q-ex312.htm">
              <w:r>
                <w:rPr>
                  <w:rStyle w:val="InternetLink"/>
                  <w:rFonts w:ascii="Arial;sans-serif" w:hAnsi="Arial;sans-serif"/>
                  <w:b w:val="false"/>
                  <w:color w:val="0000FF"/>
                  <w:sz w:val="18"/>
                  <w:u w:val="single"/>
                </w:rPr>
                <w:t>Certification of Chief Financial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2q-ex321.htm">
              <w:r>
                <w:rPr>
                  <w:rStyle w:val="InternetLink"/>
                  <w:rFonts w:ascii="Arial;sans-serif" w:hAnsi="Arial;sans-serif"/>
                  <w:b w:val="false"/>
                  <w:color w:val="0000FF"/>
                  <w:sz w:val="18"/>
                  <w:u w:val="single"/>
                </w:rPr>
                <w:t>32.1</w:t>
              </w:r>
            </w:hyperlink>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2q-ex321.htm">
              <w:r>
                <w:rPr>
                  <w:rStyle w:val="InternetLink"/>
                  <w:rFonts w:ascii="Arial;sans-serif" w:hAnsi="Arial;sans-serif"/>
                  <w:b w:val="false"/>
                  <w:color w:val="0000FF"/>
                  <w:sz w:val="18"/>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2q-ex322.htm">
              <w:r>
                <w:rPr>
                  <w:rStyle w:val="InternetLink"/>
                  <w:rFonts w:ascii="Arial;sans-serif" w:hAnsi="Arial;sans-serif"/>
                  <w:b w:val="false"/>
                  <w:color w:val="0000FF"/>
                  <w:sz w:val="18"/>
                  <w:u w:val="single"/>
                </w:rPr>
                <w:t>32.2</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2q-ex322.htm">
              <w:r>
                <w:rPr>
                  <w:rStyle w:val="InternetLink"/>
                  <w:rFonts w:ascii="Arial;sans-serif" w:hAnsi="Arial;sans-serif"/>
                  <w:b w:val="false"/>
                  <w:color w:val="0000FF"/>
                  <w:sz w:val="18"/>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612"/>
        <w:gridCol w:w="1612"/>
        <w:gridCol w:w="1612"/>
        <w:gridCol w:w="1612"/>
        <w:gridCol w:w="1612"/>
        <w:gridCol w:w="1645"/>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7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Schedules and similar attachments have been omitted pursuant to Item 601(b)(5)of Regulation S-K. The Company hereby undertakes to furnish copies of any of the omitted schedules upon request by the SEC; provided, however, that the Company may request confidential treatment pursuant to Rule 24b-2 of the Exchange Act for any schedules so furnished.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Filed herewith.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 xml:space="preserve">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36" w:type="dxa"/>
            <w:gridSpan w:val="3"/>
            <w:tcBorders/>
            <w:vAlign w:val="center"/>
          </w:tcPr>
          <w:p>
            <w:pPr>
              <w:pStyle w:val="TableContents"/>
              <w:bidi w:val="0"/>
              <w:spacing w:before="0" w:after="283"/>
              <w:jc w:val="left"/>
              <w:rPr>
                <w:sz w:val="4"/>
                <w:szCs w:val="4"/>
              </w:rPr>
            </w:pPr>
            <w:r>
              <w:rPr>
                <w:sz w:val="4"/>
                <w:szCs w:val="4"/>
              </w:rPr>
            </w:r>
          </w:p>
        </w:tc>
        <w:tc>
          <w:tcPr>
            <w:tcW w:w="4869" w:type="dxa"/>
            <w:gridSpan w:val="3"/>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5609" w:type="dxa"/>
        <w:jc w:val="left"/>
        <w:tblInd w:w="0" w:type="dxa"/>
        <w:tblLayout w:type="fixed"/>
        <w:tblCellMar>
          <w:top w:w="28" w:type="dxa"/>
          <w:left w:w="28" w:type="dxa"/>
          <w:bottom w:w="28" w:type="dxa"/>
          <w:right w:w="28" w:type="dxa"/>
        </w:tblCellMar>
      </w:tblPr>
      <w:tblGrid>
        <w:gridCol w:w="699"/>
        <w:gridCol w:w="616"/>
        <w:gridCol w:w="619"/>
        <w:gridCol w:w="1073"/>
        <w:gridCol w:w="1073"/>
        <w:gridCol w:w="1529"/>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HF Foods Group Inc.</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 /s/ Felix Lin</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Felix Lin</w:t>
              <w:br/>
              <w:t>President and Chief Executive Officer</w:t>
              <w:br/>
              <w:t>(Principal Executive Officer)</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 /s/ Paul McGarry</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br/>
              <w:t>Chief Financial Officer</w:t>
              <w:br/>
              <w:t>(Principal Accounting and Financial Officer)</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August 10, 2026</w:t>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Felix Lin, certify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909" w:type="dxa"/>
        <w:jc w:val="left"/>
        <w:tblInd w:w="0" w:type="dxa"/>
        <w:tblLayout w:type="fixed"/>
        <w:tblCellMar>
          <w:top w:w="28" w:type="dxa"/>
          <w:left w:w="28" w:type="dxa"/>
          <w:bottom w:w="28" w:type="dxa"/>
          <w:right w:w="28" w:type="dxa"/>
        </w:tblCellMar>
      </w:tblPr>
      <w:tblGrid>
        <w:gridCol w:w="749"/>
        <w:gridCol w:w="657"/>
        <w:gridCol w:w="664"/>
        <w:gridCol w:w="134"/>
        <w:gridCol w:w="134"/>
        <w:gridCol w:w="136"/>
        <w:gridCol w:w="998"/>
        <w:gridCol w:w="998"/>
        <w:gridCol w:w="1439"/>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Felix Lin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Felix Lin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Paul McGarry, certify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4559" w:type="dxa"/>
        <w:jc w:val="left"/>
        <w:tblInd w:w="0" w:type="dxa"/>
        <w:tblLayout w:type="fixed"/>
        <w:tblCellMar>
          <w:top w:w="28" w:type="dxa"/>
          <w:left w:w="28" w:type="dxa"/>
          <w:bottom w:w="28" w:type="dxa"/>
          <w:right w:w="28" w:type="dxa"/>
        </w:tblCellMar>
      </w:tblPr>
      <w:tblGrid>
        <w:gridCol w:w="749"/>
        <w:gridCol w:w="657"/>
        <w:gridCol w:w="664"/>
        <w:gridCol w:w="134"/>
        <w:gridCol w:w="134"/>
        <w:gridCol w:w="136"/>
        <w:gridCol w:w="611"/>
        <w:gridCol w:w="611"/>
        <w:gridCol w:w="863"/>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McGarry</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Paul McGarry</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Section 1350 Certification of Chief Executive Officer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HF Foods Group Inc. (the “Company”) for the quarterly period ended June 30, 2026 as filed with the Securities and Exchange Commission on the date hereof (the “Report”), I, Felix Lin, President and Chief Executive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5909" w:type="dxa"/>
        <w:jc w:val="left"/>
        <w:tblInd w:w="0" w:type="dxa"/>
        <w:tblLayout w:type="fixed"/>
        <w:tblCellMar>
          <w:top w:w="28" w:type="dxa"/>
          <w:left w:w="28" w:type="dxa"/>
          <w:bottom w:w="28" w:type="dxa"/>
          <w:right w:w="28" w:type="dxa"/>
        </w:tblCellMar>
      </w:tblPr>
      <w:tblGrid>
        <w:gridCol w:w="749"/>
        <w:gridCol w:w="657"/>
        <w:gridCol w:w="664"/>
        <w:gridCol w:w="134"/>
        <w:gridCol w:w="134"/>
        <w:gridCol w:w="136"/>
        <w:gridCol w:w="998"/>
        <w:gridCol w:w="998"/>
        <w:gridCol w:w="1439"/>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Felix Lin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Felix Lin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Section 1350 Certification of Chief Financial Officer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HF Foods Group Inc. (the “Company”) for the quarterly period ended June 30, 2026 as filed with the Securities and Exchange Commission on the date hereof (the “Report”), I, Paul McGarry, Chief Financial Officer,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4559" w:type="dxa"/>
        <w:jc w:val="left"/>
        <w:tblInd w:w="0" w:type="dxa"/>
        <w:tblLayout w:type="fixed"/>
        <w:tblCellMar>
          <w:top w:w="28" w:type="dxa"/>
          <w:left w:w="28" w:type="dxa"/>
          <w:bottom w:w="28" w:type="dxa"/>
          <w:right w:w="28" w:type="dxa"/>
        </w:tblCellMar>
      </w:tblPr>
      <w:tblGrid>
        <w:gridCol w:w="749"/>
        <w:gridCol w:w="657"/>
        <w:gridCol w:w="664"/>
        <w:gridCol w:w="134"/>
        <w:gridCol w:w="134"/>
        <w:gridCol w:w="136"/>
        <w:gridCol w:w="611"/>
        <w:gridCol w:w="611"/>
        <w:gridCol w:w="863"/>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McGarry</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Paul McGarry</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80873/000143774919021487/ex_162902.htm" TargetMode="External"/><Relationship Id="rId4" Type="http://schemas.openxmlformats.org/officeDocument/2006/relationships/hyperlink" Target="https://www.sec.gov/Archives/edgar/data/1680873/000143774919021487/ex_162902.htm" TargetMode="External"/><Relationship Id="rId5" Type="http://schemas.openxmlformats.org/officeDocument/2006/relationships/hyperlink" Target="https://www.sec.gov/Archives/edgar/data/1680873/000168087322000056/ex302-arbylawsxnovember2022.htm" TargetMode="External"/><Relationship Id="rId6" Type="http://schemas.openxmlformats.org/officeDocument/2006/relationships/hyperlink" Target="https://www.sec.gov/Archives/edgar/data/1680873/000168087322000056/ex302-arbylawsxnovember2022.htm" TargetMode="External"/><Relationship Id="rId7" Type="http://schemas.openxmlformats.org/officeDocument/2006/relationships/hyperlink" Target="https://www.sec.gov/Archives/edgar/data/1680873/000168087323000016/exhibit31-bylawamendment.htm" TargetMode="External"/><Relationship Id="rId8" Type="http://schemas.openxmlformats.org/officeDocument/2006/relationships/hyperlink" Target="https://www.sec.gov/Archives/edgar/data/1680873/000168087323000016/exhibit31-bylawamendment.htm" TargetMode="External"/><Relationship Id="rId9" Type="http://schemas.openxmlformats.org/officeDocument/2006/relationships/hyperlink" Target="https://www.sec.gov/Archives/edgar/data/1680873/000119312523098200/d425223dex31.htm" TargetMode="External"/><Relationship Id="rId10" Type="http://schemas.openxmlformats.org/officeDocument/2006/relationships/hyperlink" Target="https://www.sec.gov/Archives/edgar/data/1680873/000119312523098200/d425223dex31.htm" TargetMode="External"/><Relationship Id="rId11" Type="http://schemas.openxmlformats.org/officeDocument/2006/relationships/hyperlink" Target="https://www.sec.gov/Archives/edgar/data/1680873/000168087326000037/exhibit31-certificateofd.htm" TargetMode="External"/><Relationship Id="rId12" Type="http://schemas.openxmlformats.org/officeDocument/2006/relationships/hyperlink" Target="https://www.sec.gov/Archives/edgar/data/1680873/000168087326000037/exhibit31-certificateofd.htm" TargetMode="External"/><Relationship Id="rId13" Type="http://schemas.openxmlformats.org/officeDocument/2006/relationships/hyperlink" Target="https://www.sec.gov/Archives/edgar/data/1680873/000168087326000037/exhibit31-certificateofd.htm" TargetMode="External"/><Relationship Id="rId14" Type="http://schemas.openxmlformats.org/officeDocument/2006/relationships/hyperlink" Target="https://www.sec.gov/Archives/edgar/data/1680873/000161577417003872/s106920_ex4-2.htm" TargetMode="External"/><Relationship Id="rId15" Type="http://schemas.openxmlformats.org/officeDocument/2006/relationships/hyperlink" Target="https://www.sec.gov/Archives/edgar/data/1680873/000161577417003872/s106920_ex4-2.htm" TargetMode="External"/><Relationship Id="rId16" Type="http://schemas.openxmlformats.org/officeDocument/2006/relationships/hyperlink" Target="https://www.sec.gov/Archives/edgar/data/1680873/000161577417003872/s106920_ex4-5.htm" TargetMode="External"/><Relationship Id="rId17" Type="http://schemas.openxmlformats.org/officeDocument/2006/relationships/hyperlink" Target="https://www.sec.gov/Archives/edgar/data/1680873/000161577417003872/s106920_ex4-5.htm" TargetMode="External"/><Relationship Id="rId18" Type="http://schemas.openxmlformats.org/officeDocument/2006/relationships/hyperlink" Target="https://www.sec.gov/Archives/edgar/data/1680873/000168087326000037/exhibit41-preferredstock.htm" TargetMode="External"/><Relationship Id="rId19" Type="http://schemas.openxmlformats.org/officeDocument/2006/relationships/hyperlink" Target="https://www.sec.gov/Archives/edgar/data/1680873/000168087326000037/exhibit41-preferredstock.htm" TargetMode="External"/><Relationship Id="rId20" Type="http://schemas.openxmlformats.org/officeDocument/2006/relationships/hyperlink" Target="https://www.sec.gov/Archives/edgar/data/1680873/000168087326000037/exhibit41-preferredstock.htm" TargetMode="External"/><Relationship Id="rId21" Type="http://schemas.openxmlformats.org/officeDocument/2006/relationships/hyperlink" Target="https://www.sec.gov/Archives/edgar/data/1680873/000168087326000051/exhibit101-securitiespur.htm" TargetMode="External"/><Relationship Id="rId22" Type="http://schemas.openxmlformats.org/officeDocument/2006/relationships/hyperlink" Target="https://www.sec.gov/Archives/edgar/data/1680873/000168087326000051/exhibit101-securitiespur.htm" TargetMode="External"/><Relationship Id="rId23" Type="http://schemas.openxmlformats.org/officeDocument/2006/relationships/hyperlink" Target="https://www.sec.gov/Archives/edgar/data/1680873/000168087326000051/exhibit101-securitiespur.htm" TargetMode="External"/><Relationship Id="rId24" Type="http://schemas.openxmlformats.org/officeDocument/2006/relationships/hyperlink" Target="https://www.sec.gov/Archives/edgar/data/1680873/000168087326000051/exhibit101-securitiespur.htm" TargetMode="External"/><Relationship Id="rId25" Type="http://schemas.openxmlformats.org/officeDocument/2006/relationships/hyperlink" Target="https://www.sec.gov/Archives/edgar/data/1680873/000168087326000053/exhibit101-hffoodsxjoind.htm" TargetMode="External"/><Relationship Id="rId26" Type="http://schemas.openxmlformats.org/officeDocument/2006/relationships/hyperlink" Target="https://www.sec.gov/Archives/edgar/data/1680873/000168087326000053/exhibit101-hffoodsxjoind.htm" TargetMode="External"/><Relationship Id="rId27" Type="http://schemas.openxmlformats.org/officeDocument/2006/relationships/hyperlink" Target="https://www.sec.gov/Archives/edgar/data/1680873/000168087326000053/exhibit101-hffoodsxjoind.htm" TargetMode="External"/><Relationship Id="rId28" Type="http://schemas.openxmlformats.org/officeDocument/2006/relationships/hyperlink" Target="https://www.sec.gov/Archives/edgar/data/1680873/000168087326000053/exhibit101-hffoodsxjoind.htm" TargetMode="External"/><Relationship Id="rId29" Type="http://schemas.openxmlformats.org/officeDocument/2006/relationships/hyperlink" Target="https://www.sec.gov/Archives/edgar/data/1680873/000168087326000053/exhibit101-hffoodsxjoind.htm" TargetMode="External"/><Relationship Id="rId30" Type="http://schemas.openxmlformats.org/officeDocument/2006/relationships/hyperlink" Target="https://www.sec.gov/Archives/edgar/data/1680873/000168087326000053/exhibit101-hffoodsxjoind.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17744</Words>
  <Characters>97153</Characters>
  <CharactersWithSpaces>113441</CharactersWithSpaces>
  <Paragraphs>2521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