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6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240" w:after="283"/>
        <w:jc w:val="center"/>
        <w:rPr/>
      </w:pPr>
      <w:r>
        <w:rPr>
          <w:color w:val="000000"/>
        </w:rPr>
        <w:t>☒ </w:t>
      </w:r>
      <w:r>
        <w:rPr>
          <w:rFonts w:ascii="Times New Roman;sans-serif" w:hAnsi="Times New Roman;sans-serif"/>
          <w:b/>
          <w:color w:val="000000"/>
          <w:sz w:val="20"/>
        </w:rPr>
        <w:t>QUARTERLY REPORT PURSUANT TO SECTION 13 OR 15(d) OF THE SECURITIES EXCHANGE ACT OF 1934</w:t>
      </w:r>
      <w:r>
        <w:rPr>
          <w:color w:val="000000"/>
        </w:rPr>
        <w:t> </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240" w:after="283"/>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60" w:after="283"/>
        <w:jc w:val="center"/>
        <w:rPr/>
      </w:pPr>
      <w:r>
        <w:rPr>
          <w:rFonts w:ascii="Times New Roman;sans-serif" w:hAnsi="Times New Roman;sans-serif"/>
          <w:b w:val="false"/>
          <w:color w:val="000000"/>
          <w:sz w:val="20"/>
        </w:rPr>
        <w:t xml:space="preserve">For the transition period from </w:t>
      </w:r>
      <w:r>
        <w:rPr>
          <w:rFonts w:ascii="Times New Roman;sans-serif" w:hAnsi="Times New Roman;sans-serif"/>
          <w:b w:val="false"/>
          <w:color w:val="000000"/>
          <w:sz w:val="12"/>
        </w:rPr>
        <w:t xml:space="preserve">_______________________ </w:t>
      </w:r>
      <w:r>
        <w:rPr>
          <w:rFonts w:ascii="Times New Roman;sans-serif" w:hAnsi="Times New Roman;sans-serif"/>
          <w:b w:val="false"/>
          <w:color w:val="000000"/>
          <w:sz w:val="20"/>
        </w:rPr>
        <w:t xml:space="preserve">to </w:t>
      </w:r>
      <w:r>
        <w:rPr>
          <w:rFonts w:ascii="Times New Roman;sans-serif" w:hAnsi="Times New Roman;sans-serif"/>
          <w:b w:val="false"/>
          <w:color w:val="000000"/>
          <w:sz w:val="12"/>
        </w:rPr>
        <w:t>_______________________</w:t>
      </w:r>
      <w:r>
        <w:rPr>
          <w:rFonts w:ascii="Times New Roman;sans-serif" w:hAnsi="Times New Roman;sans-serif"/>
          <w:b w:val="false"/>
          <w:color w:val="000000"/>
          <w:sz w:val="20"/>
        </w:rPr>
        <w:t>.</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001-38180</w:t>
      </w:r>
    </w:p>
    <w:p>
      <w:pPr>
        <w:pStyle w:val="TextBody"/>
        <w:bidi w:val="0"/>
        <w:spacing w:lineRule="auto" w:line="288" w:before="16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HF FOODS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9"/>
        <w:gridCol w:w="1581"/>
        <w:gridCol w:w="1585"/>
        <w:gridCol w:w="886"/>
        <w:gridCol w:w="886"/>
        <w:gridCol w:w="1257"/>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81-2717873</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7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6325 South Rainbow Boulevard, Suite 420, Las Vegas, NV 89118</w:t>
            </w:r>
          </w:p>
        </w:tc>
      </w:tr>
      <w:tr>
        <w:trPr/>
        <w:tc>
          <w:tcPr>
            <w:tcW w:w="79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(888) 905-0988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63" w:type="dxa"/>
        <w:jc w:val="left"/>
        <w:tblInd w:w="0" w:type="dxa"/>
        <w:tblLayout w:type="fixed"/>
        <w:tblCellMar>
          <w:top w:w="28" w:type="dxa"/>
          <w:left w:w="28" w:type="dxa"/>
          <w:bottom w:w="28" w:type="dxa"/>
          <w:right w:w="28" w:type="dxa"/>
        </w:tblCellMar>
      </w:tblPr>
      <w:tblGrid>
        <w:gridCol w:w="1062"/>
        <w:gridCol w:w="933"/>
        <w:gridCol w:w="944"/>
        <w:gridCol w:w="499"/>
        <w:gridCol w:w="499"/>
        <w:gridCol w:w="501"/>
        <w:gridCol w:w="1118"/>
        <w:gridCol w:w="1118"/>
        <w:gridCol w:w="1589"/>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HFFG</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Preferred Share Purchase Rights</w:t>
            </w:r>
          </w:p>
        </w:tc>
        <w:tc>
          <w:tcPr>
            <w:tcW w:w="14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26" w:type="dxa"/>
        <w:jc w:val="left"/>
        <w:tblInd w:w="0" w:type="dxa"/>
        <w:tblLayout w:type="fixed"/>
        <w:tblCellMar>
          <w:top w:w="28" w:type="dxa"/>
          <w:left w:w="28" w:type="dxa"/>
          <w:bottom w:w="28" w:type="dxa"/>
          <w:right w:w="28" w:type="dxa"/>
        </w:tblCellMar>
      </w:tblPr>
      <w:tblGrid>
        <w:gridCol w:w="695"/>
        <w:gridCol w:w="611"/>
        <w:gridCol w:w="613"/>
        <w:gridCol w:w="125"/>
        <w:gridCol w:w="125"/>
        <w:gridCol w:w="126"/>
        <w:gridCol w:w="769"/>
        <w:gridCol w:w="769"/>
        <w:gridCol w:w="772"/>
        <w:gridCol w:w="123"/>
        <w:gridCol w:w="123"/>
        <w:gridCol w:w="17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5, 2023, the registrant had 54,145,924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June 30, 2023</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554" w:type="dxa"/>
        <w:jc w:val="left"/>
        <w:tblInd w:w="0" w:type="dxa"/>
        <w:tblLayout w:type="fixed"/>
        <w:tblCellMar>
          <w:top w:w="28" w:type="dxa"/>
          <w:left w:w="28" w:type="dxa"/>
          <w:bottom w:w="28" w:type="dxa"/>
          <w:right w:w="28" w:type="dxa"/>
        </w:tblCellMar>
      </w:tblPr>
      <w:tblGrid>
        <w:gridCol w:w="320"/>
        <w:gridCol w:w="281"/>
        <w:gridCol w:w="283"/>
        <w:gridCol w:w="2682"/>
        <w:gridCol w:w="2682"/>
        <w:gridCol w:w="2735"/>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9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8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124">
              <w:r>
                <w:rPr>
                  <w:rStyle w:val="InternetLink"/>
                  <w:rFonts w:ascii="Times New Roman;sans-serif" w:hAnsi="Times New Roman;sans-serif"/>
                  <w:b/>
                  <w:strike w:val="false"/>
                  <w:dstrike w:val="false"/>
                  <w:color w:val="000000"/>
                  <w:sz w:val="20"/>
                  <w:u w:val="none"/>
                  <w:effect w:val="none"/>
                </w:rPr>
                <w:t>PART I.</w:t>
              </w:r>
            </w:hyperlink>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10">
              <w:r>
                <w:rPr>
                  <w:rStyle w:val="InternetLink"/>
                  <w:rFonts w:ascii="Times New Roman;sans-serif" w:hAnsi="Times New Roman;sans-serif"/>
                  <w:b/>
                  <w:strike w:val="false"/>
                  <w:dstrike w:val="false"/>
                  <w:color w:val="000000"/>
                  <w:sz w:val="20"/>
                  <w:u w:val="none"/>
                  <w:effect w:val="none"/>
                </w:rPr>
                <w:t>FINANCIAL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3">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16">
              <w:r>
                <w:rPr>
                  <w:rStyle w:val="InternetLink"/>
                  <w:rFonts w:ascii="Times New Roman;sans-serif" w:hAnsi="Times New Roman;sans-serif"/>
                  <w:b w:val="false"/>
                  <w:strike w:val="false"/>
                  <w:dstrike w:val="false"/>
                  <w:color w:val="000000"/>
                  <w:sz w:val="20"/>
                  <w:u w:val="none"/>
                  <w:effect w:val="non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6">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22">
              <w:r>
                <w:rPr>
                  <w:rStyle w:val="InternetLink"/>
                  <w:rFonts w:ascii="Times New Roman;sans-serif" w:hAnsi="Times New Roman;sans-serif"/>
                  <w:b w:val="false"/>
                  <w:strike w:val="false"/>
                  <w:dstrike w:val="false"/>
                  <w:color w:val="000000"/>
                  <w:sz w:val="20"/>
                  <w:u w:val="none"/>
                  <w:effect w:val="none"/>
                </w:rPr>
                <w:t>Condensed Consolidated Statements of Operations and Comprehensive</w:t>
              </w:r>
            </w:hyperlink>
            <w:r>
              <w:rPr>
                <w:rFonts w:ascii="Times New Roman;sans-serif" w:hAnsi="Times New Roman;sans-serif"/>
                <w:b w:val="false"/>
                <w:color w:val="000000"/>
                <w:sz w:val="20"/>
              </w:rPr>
              <w:t xml:space="preserve"> (Loss)</w:t>
            </w:r>
            <w:hyperlink w:anchor="i2b9ca947e5ef46e7a3a7c666c5474568_22">
              <w:r>
                <w:rPr>
                  <w:rStyle w:val="InternetLink"/>
                  <w:rFonts w:ascii="Times New Roman;sans-serif" w:hAnsi="Times New Roman;sans-serif"/>
                  <w:b w:val="false"/>
                  <w:strike w:val="false"/>
                  <w:dstrike w:val="false"/>
                  <w:color w:val="000000"/>
                  <w:sz w:val="20"/>
                  <w:u w:val="none"/>
                  <w:effect w:val="none"/>
                </w:rPr>
                <w:t xml:space="preserve"> Income</w:t>
              </w:r>
            </w:hyperlink>
            <w:r>
              <w:rPr>
                <w:rFonts w:ascii="Times New Roman;sans-serif" w:hAnsi="Times New Roman;sans-serif"/>
                <w:b w:val="false"/>
                <w:color w:val="000000"/>
                <w:sz w:val="20"/>
              </w:rPr>
              <w:t xml:space="preserve"> </w:t>
            </w:r>
            <w:hyperlink w:anchor="i2b9ca947e5ef46e7a3a7c666c5474568_253">
              <w:r>
                <w:rPr>
                  <w:rStyle w:val="InternetLink"/>
                  <w:rFonts w:ascii="Times New Roman;sans-serif" w:hAnsi="Times New Roman;sans-serif"/>
                  <w:b w:val="false"/>
                  <w:strike w:val="false"/>
                  <w:dstrike w:val="false"/>
                  <w:color w:val="000000"/>
                  <w:sz w:val="20"/>
                  <w:u w:val="none"/>
                  <w:effect w:val="none"/>
                </w:rPr>
                <w:t>(Unaudited)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22">
              <w:r>
                <w:rPr>
                  <w:rStyle w:val="InternetLink"/>
                  <w:rFonts w:ascii="Times New Roman;sans-serif" w:hAnsi="Times New Roman;sans-serif"/>
                  <w:b w:val="false"/>
                  <w:strike w:val="false"/>
                  <w:dstrike w:val="false"/>
                  <w:color w:val="000000"/>
                  <w:sz w:val="20"/>
                  <w:u w:val="none"/>
                  <w:effect w:val="none"/>
                </w:rPr>
                <w:t>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25">
              <w:r>
                <w:rPr>
                  <w:rStyle w:val="InternetLink"/>
                  <w:rFonts w:ascii="Times New Roman;sans-serif" w:hAnsi="Times New Roman;sans-serif"/>
                  <w:b w:val="false"/>
                  <w:strike w:val="false"/>
                  <w:dstrike w:val="false"/>
                  <w:color w:val="000000"/>
                  <w:sz w:val="20"/>
                  <w:u w:val="none"/>
                  <w:effect w:val="none"/>
                </w:rPr>
                <w:t>Condensed Consolidated Statements of Cash Flows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25">
              <w:r>
                <w:rPr>
                  <w:rStyle w:val="InternetLink"/>
                  <w:rFonts w:ascii="Times New Roman;sans-serif" w:hAnsi="Times New Roman;sans-serif"/>
                  <w:b w:val="false"/>
                  <w:strike w:val="false"/>
                  <w:dstrike w:val="false"/>
                  <w:color w:val="000000"/>
                  <w:sz w:val="20"/>
                  <w:u w:val="none"/>
                  <w:effect w:val="none"/>
                </w:rPr>
                <w:t>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28">
              <w:r>
                <w:rPr>
                  <w:rStyle w:val="InternetLink"/>
                  <w:rFonts w:ascii="Times New Roman;sans-serif" w:hAnsi="Times New Roman;sans-serif"/>
                  <w:b w:val="false"/>
                  <w:strike w:val="false"/>
                  <w:dstrike w:val="false"/>
                  <w:color w:val="000000"/>
                  <w:sz w:val="20"/>
                  <w:u w:val="none"/>
                  <w:effect w:val="none"/>
                </w:rPr>
                <w:t>Condensed Consolidated Statements of Changes in Shareholders’ Equity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28">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31">
              <w:r>
                <w:rPr>
                  <w:rStyle w:val="InternetLink"/>
                  <w:rFonts w:ascii="Times New Roman;sans-serif" w:hAnsi="Times New Roman;sans-serif"/>
                  <w:b w:val="false"/>
                  <w:strike w:val="false"/>
                  <w:dstrike w:val="false"/>
                  <w:color w:val="000000"/>
                  <w:sz w:val="20"/>
                  <w:u w:val="none"/>
                  <w:effect w:val="none"/>
                </w:rPr>
                <w:t>Notes to Unaudited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31">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121">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21">
              <w:r>
                <w:rPr>
                  <w:rStyle w:val="InternetLink"/>
                  <w:rFonts w:ascii="Times New Roman;sans-serif" w:hAnsi="Times New Roman;sans-serif"/>
                  <w:b w:val="false"/>
                  <w:strike w:val="false"/>
                  <w:dstrike w:val="false"/>
                  <w:color w:val="000000"/>
                  <w:sz w:val="20"/>
                  <w:u w:val="none"/>
                  <w:effect w:val="none"/>
                </w:rPr>
                <w:t>21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Q</w:t>
            </w:r>
            <w:hyperlink w:anchor="i2b9ca947e5ef46e7a3a7c666c5474568_142">
              <w:r>
                <w:rPr>
                  <w:rStyle w:val="InternetLink"/>
                  <w:rFonts w:ascii="Times New Roman;sans-serif" w:hAnsi="Times New Roman;sans-serif"/>
                  <w:b w:val="false"/>
                  <w:strike w:val="false"/>
                  <w:dstrike w:val="false"/>
                  <w:color w:val="000000"/>
                  <w:sz w:val="20"/>
                  <w:u w:val="none"/>
                  <w:effect w:val="none"/>
                </w:rPr>
                <w:t>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42">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22">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45">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25">
              <w:r>
                <w:rPr>
                  <w:rStyle w:val="InternetLink"/>
                  <w:rFonts w:ascii="Times New Roman;sans-serif" w:hAnsi="Times New Roman;sans-serif"/>
                  <w:b/>
                  <w:strike w:val="false"/>
                  <w:dstrike w:val="false"/>
                  <w:color w:val="000000"/>
                  <w:sz w:val="20"/>
                  <w:u w:val="none"/>
                  <w:effect w:val="none"/>
                </w:rPr>
                <w:t>PART II.</w:t>
              </w:r>
            </w:hyperlink>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25">
              <w:r>
                <w:rPr>
                  <w:rStyle w:val="InternetLink"/>
                  <w:rFonts w:ascii="Times New Roman;sans-serif" w:hAnsi="Times New Roman;sans-serif"/>
                  <w:b/>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w:t>
            </w:r>
            <w:hyperlink w:anchor="i2b9ca947e5ef46e7a3a7c666c5474568_271">
              <w:r>
                <w:rPr>
                  <w:rStyle w:val="InternetLink"/>
                  <w:rFonts w:ascii="Times New Roman;sans-serif" w:hAnsi="Times New Roman;sans-serif"/>
                  <w:b w:val="false"/>
                  <w:strike w:val="false"/>
                  <w:dstrike w:val="false"/>
                  <w:color w:val="000000"/>
                  <w:sz w:val="20"/>
                  <w:u w:val="none"/>
                  <w:effect w:val="none"/>
                </w:rPr>
                <w:t>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51">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253">
              <w:r>
                <w:rPr>
                  <w:rStyle w:val="InternetLink"/>
                  <w:rFonts w:ascii="Times New Roman;sans-serif" w:hAnsi="Times New Roman;sans-serif"/>
                  <w:b w:val="false"/>
                  <w:strike w:val="false"/>
                  <w:dstrike w:val="false"/>
                  <w:color w:val="000000"/>
                  <w:sz w:val="20"/>
                  <w:u w:val="none"/>
                  <w:effect w:val="non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54">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57">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34">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60">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268">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63">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202">
              <w:r>
                <w:rPr>
                  <w:rStyle w:val="InternetLink"/>
                  <w:rFonts w:ascii="Times New Roman;sans-serif" w:hAnsi="Times New Roman;sans-serif"/>
                  <w:b w:val="false"/>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66">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169">
              <w:r>
                <w:rPr>
                  <w:rStyle w:val="InternetLink"/>
                  <w:rFonts w:ascii="Times New Roman;sans-serif" w:hAnsi="Times New Roman;sans-serif"/>
                  <w:b w:val="false"/>
                  <w:strike w:val="false"/>
                  <w:dstrike w:val="false"/>
                  <w:color w:val="000000"/>
                  <w:sz w:val="20"/>
                  <w:u w:val="none"/>
                  <w:effect w:val="non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69">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b9ca947e5ef46e7a3a7c666c5474568_274">
              <w:r>
                <w:rPr>
                  <w:rStyle w:val="InternetLink"/>
                  <w:rFonts w:ascii="Times New Roman;sans-serif" w:hAnsi="Times New Roman;sans-serif"/>
                  <w:b/>
                  <w:strike w:val="false"/>
                  <w:dstrike w:val="false"/>
                  <w:color w:val="000000"/>
                  <w:sz w:val="20"/>
                  <w:u w:val="none"/>
                  <w:effect w:val="none"/>
                </w:rPr>
                <w:t>SIGNATURE PAGE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2b9ca947e5ef46e7a3a7c666c5474568_172">
              <w:r>
                <w:rPr>
                  <w:rStyle w:val="InternetLink"/>
                  <w:rFonts w:ascii="Times New Roman;sans-serif" w:hAnsi="Times New Roman;sans-serif"/>
                  <w:b w:val="false"/>
                  <w:strike w:val="false"/>
                  <w:dstrike w:val="false"/>
                  <w:color w:val="000000"/>
                  <w:sz w:val="20"/>
                  <w:u w:val="none"/>
                  <w:effect w:val="non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31"/>
        <w:gridCol w:w="2254"/>
        <w:gridCol w:w="2271"/>
        <w:gridCol w:w="204"/>
        <w:gridCol w:w="782"/>
        <w:gridCol w:w="113"/>
        <w:gridCol w:w="109"/>
        <w:gridCol w:w="109"/>
        <w:gridCol w:w="109"/>
        <w:gridCol w:w="235"/>
        <w:gridCol w:w="901"/>
        <w:gridCol w:w="187"/>
      </w:tblGrid>
      <w:tr>
        <w:trPr/>
        <w:tc>
          <w:tcPr>
            <w:tcW w:w="2931"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120,291 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184,687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197,916</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157,748 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 intangibles,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612,088</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637,529</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 of credit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finance leases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operating leases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149,982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163,890</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115,443 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finance leases, non-current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operating leases, non-current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321,488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341,280</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14)</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 shares authorized, no shares issued and outstanding as of June 30, 2023 and December 31, 2022</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100,000,000 shares authorized, 54,086,164 shares issued and outstanding as of June 30, 2023 and 53,813,777 shares issued and outstanding as of December 31, 2022</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598,322 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(313,297)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(306,514)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 ATTRIBUTABLE TO HF FOODS GROUP INC.</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286,738</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291,813</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290,600</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296,249</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612,088</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637,529</w:t>
            </w: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36270"/>
                <wp:effectExtent l="0" t="0" r="0" b="0"/>
                <wp:wrapNone/>
                <wp:docPr id="3" name="Frame3"/>
                <a:graphic xmlns:a="http://schemas.openxmlformats.org/drawingml/2006/main">
                  <a:graphicData uri="http://schemas.microsoft.com/office/word/2010/wordprocessingShape">
                    <wps:wsp>
                      <wps:cNvSpPr txBox="1"/>
                      <wps:spPr>
                        <a:xfrm>
                          <a:off x="0" y="0"/>
                          <a:ext cx="6480175" cy="6362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96"/>
        <w:gridCol w:w="1259"/>
        <w:gridCol w:w="1263"/>
        <w:gridCol w:w="205"/>
        <w:gridCol w:w="771"/>
        <w:gridCol w:w="109"/>
        <w:gridCol w:w="109"/>
        <w:gridCol w:w="109"/>
        <w:gridCol w:w="109"/>
        <w:gridCol w:w="205"/>
        <w:gridCol w:w="771"/>
        <w:gridCol w:w="109"/>
        <w:gridCol w:w="109"/>
        <w:gridCol w:w="109"/>
        <w:gridCol w:w="109"/>
        <w:gridCol w:w="205"/>
        <w:gridCol w:w="771"/>
        <w:gridCol w:w="109"/>
        <w:gridCol w:w="109"/>
        <w:gridCol w:w="109"/>
        <w:gridCol w:w="109"/>
        <w:gridCol w:w="205"/>
        <w:gridCol w:w="771"/>
        <w:gridCol w:w="109"/>
        <w:gridCol w:w="109"/>
        <w:gridCol w:w="157"/>
      </w:tblGrid>
      <w:tr>
        <w:trPr/>
        <w:tc>
          <w:tcPr>
            <w:tcW w:w="209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4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third parties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related parties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REVENUE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292,312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299,642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586,167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577,857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third parties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related parties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241,646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247,072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485,329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474,560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50,666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52,570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100,838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103,297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selling and administrative expenses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INCOME FROM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6,727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17,046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(income) expenses, net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INCOME BEFORE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9,835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 AND COMPREHENSIVE (LOSS) INCOME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7,634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(loss) income attributable to noncontrolling interests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 AND COMPREHENSIVE (LOSS) INCOME ATTRIBUTABLE TO HF FOODS GROUP INC.</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7,678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EARNINGS PER COMMON SHARE - BASIC</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EARNINGS PER COMMON SHARE - DILUTED</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0.08</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0.14</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BASIC</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54,046,328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53,706,392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53,935,178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53,706,392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DILUTED</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54,046,328</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53,900,883</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53,935,178</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53,927,957</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56" w:type="dxa"/>
        <w:jc w:val="center"/>
        <w:tblInd w:w="0" w:type="dxa"/>
        <w:tblLayout w:type="fixed"/>
        <w:tblCellMar>
          <w:top w:w="28" w:type="dxa"/>
          <w:left w:w="28" w:type="dxa"/>
          <w:bottom w:w="28" w:type="dxa"/>
          <w:right w:w="28" w:type="dxa"/>
        </w:tblCellMar>
      </w:tblPr>
      <w:tblGrid>
        <w:gridCol w:w="2440"/>
        <w:gridCol w:w="2139"/>
        <w:gridCol w:w="2155"/>
        <w:gridCol w:w="196"/>
        <w:gridCol w:w="661"/>
        <w:gridCol w:w="109"/>
        <w:gridCol w:w="109"/>
        <w:gridCol w:w="109"/>
        <w:gridCol w:w="109"/>
        <w:gridCol w:w="196"/>
        <w:gridCol w:w="661"/>
        <w:gridCol w:w="109"/>
        <w:gridCol w:w="109"/>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(7,357)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7,634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income to net cash provided by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 charges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disposal of property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Changes in operating assets and liabilities (excluding effects of acquisitions):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8,732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13,658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Sealand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made for acquisition of Great Wall Group</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(48,655)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line of credit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line of credit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financing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obligations under finance leases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promissory note payable - related party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noncontrolling interests shareholders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distribution to shareholders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(16,553)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39,023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4,026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beginning of the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14,792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end of the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14,946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18,818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41" w:type="dxa"/>
        <w:jc w:val="center"/>
        <w:tblInd w:w="0" w:type="dxa"/>
        <w:tblLayout w:type="fixed"/>
        <w:tblCellMar>
          <w:top w:w="28" w:type="dxa"/>
          <w:left w:w="28" w:type="dxa"/>
          <w:bottom w:w="28" w:type="dxa"/>
          <w:right w:w="28" w:type="dxa"/>
        </w:tblCellMar>
      </w:tblPr>
      <w:tblGrid>
        <w:gridCol w:w="2012"/>
        <w:gridCol w:w="1764"/>
        <w:gridCol w:w="1774"/>
        <w:gridCol w:w="213"/>
        <w:gridCol w:w="606"/>
        <w:gridCol w:w="118"/>
        <w:gridCol w:w="118"/>
        <w:gridCol w:w="118"/>
        <w:gridCol w:w="118"/>
        <w:gridCol w:w="213"/>
        <w:gridCol w:w="606"/>
        <w:gridCol w:w="118"/>
        <w:gridCol w:w="109"/>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data:</w:t>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acquired in exchange for finance leases</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acquired in exchange for noncontrolling interests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2174" w:type="dxa"/>
        <w:jc w:val="center"/>
        <w:tblInd w:w="0" w:type="dxa"/>
        <w:tblLayout w:type="fixed"/>
        <w:tblCellMar>
          <w:top w:w="28" w:type="dxa"/>
          <w:left w:w="28" w:type="dxa"/>
          <w:bottom w:w="28" w:type="dxa"/>
          <w:right w:w="28" w:type="dxa"/>
        </w:tblCellMar>
      </w:tblPr>
      <w:tblGrid>
        <w:gridCol w:w="607"/>
        <w:gridCol w:w="244"/>
        <w:gridCol w:w="245"/>
        <w:gridCol w:w="488"/>
        <w:gridCol w:w="488"/>
        <w:gridCol w:w="211"/>
        <w:gridCol w:w="109"/>
        <w:gridCol w:w="109"/>
        <w:gridCol w:w="109"/>
        <w:gridCol w:w="262"/>
        <w:gridCol w:w="342"/>
        <w:gridCol w:w="147"/>
        <w:gridCol w:w="109"/>
        <w:gridCol w:w="109"/>
        <w:gridCol w:w="109"/>
        <w:gridCol w:w="109"/>
        <w:gridCol w:w="109"/>
        <w:gridCol w:w="931"/>
        <w:gridCol w:w="109"/>
        <w:gridCol w:w="220"/>
        <w:gridCol w:w="843"/>
        <w:gridCol w:w="123"/>
        <w:gridCol w:w="109"/>
        <w:gridCol w:w="109"/>
        <w:gridCol w:w="109"/>
        <w:gridCol w:w="220"/>
        <w:gridCol w:w="843"/>
        <w:gridCol w:w="123"/>
        <w:gridCol w:w="109"/>
        <w:gridCol w:w="109"/>
        <w:gridCol w:w="109"/>
        <w:gridCol w:w="234"/>
        <w:gridCol w:w="896"/>
        <w:gridCol w:w="131"/>
        <w:gridCol w:w="109"/>
        <w:gridCol w:w="109"/>
        <w:gridCol w:w="109"/>
        <w:gridCol w:w="265"/>
        <w:gridCol w:w="773"/>
        <w:gridCol w:w="148"/>
        <w:gridCol w:w="109"/>
        <w:gridCol w:w="109"/>
        <w:gridCol w:w="109"/>
        <w:gridCol w:w="196"/>
        <w:gridCol w:w="75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br/>
              <w:t>Attributable to</w:t>
              <w:br/>
              <w:t>HF Foods</w:t>
              <w:br/>
              <w:t>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Shareholders’</w:t>
              <w:br/>
              <w:t>Equity</w:t>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53,706,392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597,227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(306,284)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290,948</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4,041</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294,989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effect of adoption of CECL (ASU 2016-13)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53,706,392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597,227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(306,974)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290,258</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4,041</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294,299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contribution by shareholders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53,706,392</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597,517</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(303,860)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293,662</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4,784</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298,446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shareholders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53,706,392</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597,738</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(299,296)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298,447</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4,617</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303,064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53,813,777</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598,322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(306,514)</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291,813</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4,436</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296,249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53,844,492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599,384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(312,447)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286,942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4,572</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291,514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54,086,164</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600,030</w:t>
            </w: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(313,297)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286,738</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3,862</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290,600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Organization and General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HF Foods Group Inc. and subsidiaries (collectively “HF Group”,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Group, which operates solely in the United States. The Company's customer base consists primarily of Chinese and Asian restaurants, and it provides sales and service support to customers who mainly converse in Mandarin or Chinese dialects.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April 29, 2022, the Company completed the acquisition of substantially all of the operating assets of Sealand Food, Inc. ("Sealand") including equipment, machinery and vehicles. The acquisition was completed to expand the Company's territory along the East Coast, from Massachusetts to Florida, as well as Pennsylvania, West Virginia, Ohio, Kentucky, and Tennessee. See </w:t>
      </w:r>
      <w:r>
        <w:rPr>
          <w:rFonts w:ascii="Times New Roman;sans-serif" w:hAnsi="Times New Roman;sans-serif"/>
          <w:b w:val="false"/>
          <w:i/>
          <w:color w:val="000000"/>
          <w:sz w:val="20"/>
        </w:rPr>
        <w:t>Note 6 - Acquisitions</w:t>
      </w:r>
      <w:r>
        <w:rPr>
          <w:color w:val="000000"/>
        </w:rPr>
        <w:t xml:space="preserve"> </w:t>
      </w:r>
      <w:r>
        <w:rPr>
          <w:rFonts w:ascii="Times New Roman;sans-serif" w:hAnsi="Times New Roman;sans-serif"/>
          <w:b w:val="false"/>
          <w:color w:val="000000"/>
          <w:sz w:val="20"/>
        </w:rPr>
        <w:t>for additional information on the Sealand acquisition.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(“GAAP”) for interim financial information pursuant to the rules and regulations of the SEC and have been consistently applied. In the opinion of management, all adjustments (consisting of normal recurring accruals) considered necessary for a fair presentation have been included. These financial statements are condensed and should be read in conjunction with the audited financial statements and notes thereto for the fiscal years ended December 31, 2022 and 2021. Operating results for the three and six months ended June 30, 2023 are not necessarily indicative of the results that may be expected for the year ending December 31,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HF Group and a variable interest entity for which the Company is the primary beneficiary. All intercompany balances and transactions have been eliminated in consolidation. For consolidated entities where we own or are exposed to less than 100% of the economics, the Company records net income (loss) attributable to noncontrolling interest in its condensed consolidated statements of operations and comprehensive income (loss) equal to the percentage of the economic or ownership interest retained in such entity by the respective noncontrolling party.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FUSO Trucking, LLC (“FUSO”) is a VIE for which the Company is the primary beneficiary. Although its operations have wound down and its remaining assets and liabilities are immaterial, FUSO continues to be consolidated by the Company as a VIE. The Company also has a VIE, AnHeart, Inc. (“AnHeart”), for which the Company is not the primary beneficiary and therefore does not consolidate. The Company did not incur expenses from VIEs and did not have any sales to or income from any VIEs during the six months ended June 30, 2023. See </w:t>
      </w:r>
      <w:r>
        <w:rPr>
          <w:rFonts w:ascii="Times New Roman;sans-serif" w:hAnsi="Times New Roman;sans-serif"/>
          <w:b w:val="false"/>
          <w:i/>
          <w:color w:val="000000"/>
          <w:sz w:val="20"/>
        </w:rPr>
        <w:t xml:space="preserve">Note 14 - Commitments and Contingencies </w:t>
      </w:r>
      <w:r>
        <w:rPr>
          <w:rFonts w:ascii="Times New Roman;sans-serif" w:hAnsi="Times New Roman;sans-serif"/>
          <w:b w:val="false"/>
          <w:color w:val="000000"/>
          <w:sz w:val="20"/>
        </w:rPr>
        <w:t xml:space="preserve">for additional information on AnHeart.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noncontrolling interest equity consisted of the following:</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2"/>
        <w:gridCol w:w="937"/>
        <w:gridCol w:w="942"/>
        <w:gridCol w:w="109"/>
        <w:gridCol w:w="109"/>
        <w:gridCol w:w="109"/>
        <w:gridCol w:w="1102"/>
        <w:gridCol w:w="1102"/>
        <w:gridCol w:w="1105"/>
        <w:gridCol w:w="109"/>
        <w:gridCol w:w="109"/>
        <w:gridCol w:w="109"/>
        <w:gridCol w:w="281"/>
        <w:gridCol w:w="822"/>
        <w:gridCol w:w="145"/>
        <w:gridCol w:w="109"/>
        <w:gridCol w:w="109"/>
        <w:gridCol w:w="109"/>
        <w:gridCol w:w="367"/>
        <w:gridCol w:w="1074"/>
        <w:gridCol w:w="275"/>
      </w:tblGrid>
      <w:tr>
        <w:trPr/>
        <w:tc>
          <w:tcPr>
            <w:tcW w:w="107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Ownership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noncontrolling interest at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r>
      <w:tr>
        <w:trPr/>
        <w:tc>
          <w:tcPr>
            <w:tcW w:w="2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HF Foods Industrial, LLC ("HFFI") </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Monterey Food Service,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West Food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Syncglobal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450"/>
        <w:jc w:val="left"/>
        <w:rPr/>
      </w:pPr>
      <w:r>
        <w:rPr>
          <w:rFonts w:ascii="Times New Roman;sans-serif" w:hAnsi="Times New Roman;sans-serif"/>
          <w:b w:val="false"/>
          <w:color w:val="000000"/>
          <w:sz w:val="20"/>
        </w:rPr>
        <w:t xml:space="preserve">(a)During the three months ended June 30, 2023, the Company began to wind down HFFI operations. Accordingly, the machinery used in HFFI operations was impaired. See </w:t>
      </w:r>
      <w:r>
        <w:rPr>
          <w:rFonts w:ascii="Times New Roman;sans-serif" w:hAnsi="Times New Roman;sans-serif"/>
          <w:b w:val="false"/>
          <w:i/>
          <w:color w:val="000000"/>
          <w:sz w:val="20"/>
        </w:rPr>
        <w:t>Note 4 - Balance Sheet Components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Uses of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Company’s condensed consolidated financial statements include, but are not limited to, allowance for expected credit losses, inventory reserves, useful lives of property and equipment, lease assumptions, impairment of long-lived assets, impairment of long-term investments, impairment of goodwill, the purchase price allocation and fair value of assets and liabilities acquired with respect to business combinations, realization of deferred tax assets, uncertain income tax positions, the liability for self-insurance and stock-based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all new pronouncements that are in effect and that may impact its condensed consolidated financial statements and does not believe that there are any other new accounting pronouncements that have been issued that might have a material impact on its condensed consolidated financial statements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and 2022, revenue recognized from performance obligations related to prior periods was immaterial. Revenue expected to be recognized in any future periods related to remaining performance obligations is immaterial.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revenue disaggregated by principal product categories:</w:t>
      </w:r>
    </w:p>
    <w:p>
      <w:pPr>
        <w:pStyle w:val="TextBody"/>
        <w:bidi w:val="0"/>
        <w:spacing w:before="0" w:after="0"/>
        <w:jc w:val="both"/>
        <w:rPr/>
      </w:pPr>
      <w:r>
        <w:rPr/>
      </w:r>
    </w:p>
    <w:tbl>
      <w:tblPr>
        <w:tblW w:w="11289" w:type="dxa"/>
        <w:jc w:val="left"/>
        <w:tblInd w:w="0" w:type="dxa"/>
        <w:tblLayout w:type="fixed"/>
        <w:tblCellMar>
          <w:top w:w="28" w:type="dxa"/>
          <w:left w:w="28" w:type="dxa"/>
          <w:bottom w:w="28" w:type="dxa"/>
          <w:right w:w="28" w:type="dxa"/>
        </w:tblCellMar>
      </w:tblPr>
      <w:tblGrid>
        <w:gridCol w:w="492"/>
        <w:gridCol w:w="301"/>
        <w:gridCol w:w="303"/>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 Specialty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Meat and Poultry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Fresh Produce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w:t>
      </w:r>
    </w:p>
    <w:p>
      <w:pPr>
        <w:pStyle w:val="TextBody"/>
        <w:bidi w:val="0"/>
        <w:spacing w:before="0" w:after="0"/>
        <w:jc w:val="left"/>
        <w:rPr/>
      </w:pPr>
      <w:r>
        <w:rPr/>
      </w:r>
    </w:p>
    <w:tbl>
      <w:tblPr>
        <w:tblW w:w="6865" w:type="dxa"/>
        <w:jc w:val="left"/>
        <w:tblInd w:w="0" w:type="dxa"/>
        <w:tblLayout w:type="fixed"/>
        <w:tblCellMar>
          <w:top w:w="28" w:type="dxa"/>
          <w:left w:w="28" w:type="dxa"/>
          <w:bottom w:w="28" w:type="dxa"/>
          <w:right w:w="28" w:type="dxa"/>
        </w:tblCellMar>
      </w:tblPr>
      <w:tblGrid>
        <w:gridCol w:w="1264"/>
        <w:gridCol w:w="1112"/>
        <w:gridCol w:w="1118"/>
        <w:gridCol w:w="258"/>
        <w:gridCol w:w="883"/>
        <w:gridCol w:w="133"/>
        <w:gridCol w:w="109"/>
        <w:gridCol w:w="109"/>
        <w:gridCol w:w="109"/>
        <w:gridCol w:w="344"/>
        <w:gridCol w:w="1175"/>
        <w:gridCol w:w="25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expected credit losses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Movement of allowance for expected credit losses was as follows:</w:t>
      </w:r>
    </w:p>
    <w:p>
      <w:pPr>
        <w:pStyle w:val="TextBody"/>
        <w:bidi w:val="0"/>
        <w:spacing w:before="0" w:after="0"/>
        <w:jc w:val="left"/>
        <w:rPr/>
      </w:pPr>
      <w:r>
        <w:rPr/>
      </w:r>
    </w:p>
    <w:tbl>
      <w:tblPr>
        <w:tblW w:w="7248" w:type="dxa"/>
        <w:jc w:val="left"/>
        <w:tblInd w:w="0" w:type="dxa"/>
        <w:tblLayout w:type="fixed"/>
        <w:tblCellMar>
          <w:top w:w="28" w:type="dxa"/>
          <w:left w:w="28" w:type="dxa"/>
          <w:bottom w:w="28" w:type="dxa"/>
          <w:right w:w="28" w:type="dxa"/>
        </w:tblCellMar>
      </w:tblPr>
      <w:tblGrid>
        <w:gridCol w:w="1719"/>
        <w:gridCol w:w="1514"/>
        <w:gridCol w:w="1522"/>
        <w:gridCol w:w="214"/>
        <w:gridCol w:w="626"/>
        <w:gridCol w:w="110"/>
        <w:gridCol w:w="110"/>
        <w:gridCol w:w="110"/>
        <w:gridCol w:w="110"/>
        <w:gridCol w:w="214"/>
        <w:gridCol w:w="626"/>
        <w:gridCol w:w="110"/>
        <w:gridCol w:w="109"/>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adoption of the CECL standard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provision for expected credit losses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write-offs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bidi w:val="0"/>
        <w:spacing w:before="0" w:after="0"/>
        <w:jc w:val="both"/>
        <w:rPr/>
      </w:pPr>
      <w:r>
        <w:rPr/>
      </w:r>
    </w:p>
    <w:tbl>
      <w:tblPr>
        <w:tblW w:w="6054" w:type="dxa"/>
        <w:jc w:val="left"/>
        <w:tblInd w:w="0" w:type="dxa"/>
        <w:tblLayout w:type="fixed"/>
        <w:tblCellMar>
          <w:top w:w="28" w:type="dxa"/>
          <w:left w:w="28" w:type="dxa"/>
          <w:bottom w:w="28" w:type="dxa"/>
          <w:right w:w="28" w:type="dxa"/>
        </w:tblCellMar>
      </w:tblPr>
      <w:tblGrid>
        <w:gridCol w:w="997"/>
        <w:gridCol w:w="877"/>
        <w:gridCol w:w="810"/>
        <w:gridCol w:w="234"/>
        <w:gridCol w:w="919"/>
        <w:gridCol w:w="121"/>
        <w:gridCol w:w="109"/>
        <w:gridCol w:w="109"/>
        <w:gridCol w:w="109"/>
        <w:gridCol w:w="313"/>
        <w:gridCol w:w="1228"/>
        <w:gridCol w:w="228"/>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Automobiles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1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1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186,156 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(45,826)</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$2.4 million and $2.2 million for the three months ended June 30, 2023 and 2022, respectively. Depreciation expense was $5.0 million and $4.4 million for the six months ended June 30, 2023 and 2022, respectively. During the three months ended June 30, 2023, the Company impaired machinery and recognized impairment expense of $1.2 million in distribution, selling and administrative expense in the unaudited condensed consolidated statements of income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comprehensive income. See </w:t>
      </w:r>
      <w:r>
        <w:rPr>
          <w:rFonts w:ascii="Times New Roman;sans-serif" w:hAnsi="Times New Roman;sans-serif"/>
          <w:b w:val="false"/>
          <w:i/>
          <w:color w:val="000000"/>
          <w:sz w:val="20"/>
        </w:rPr>
        <w:t xml:space="preserve">Note 2 - Summary of Significant Accounting Policies </w:t>
      </w:r>
      <w:r>
        <w:rPr>
          <w:rFonts w:ascii="Times New Roman;sans-serif" w:hAnsi="Times New Roman;sans-serif"/>
          <w:b w:val="false"/>
          <w:color w:val="000000"/>
          <w:sz w:val="20"/>
        </w:rPr>
        <w:t>for additional information regarding the Company’s operations at HFFI.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investments consisted of the following:</w:t>
      </w:r>
    </w:p>
    <w:p>
      <w:pPr>
        <w:pStyle w:val="TextBody"/>
        <w:bidi w:val="0"/>
        <w:spacing w:before="0" w:after="0"/>
        <w:jc w:val="both"/>
        <w:rPr/>
      </w:pPr>
      <w:r>
        <w:rPr/>
      </w:r>
    </w:p>
    <w:tbl>
      <w:tblPr>
        <w:tblW w:w="9860" w:type="dxa"/>
        <w:jc w:val="left"/>
        <w:tblInd w:w="0" w:type="dxa"/>
        <w:tblLayout w:type="fixed"/>
        <w:tblCellMar>
          <w:top w:w="28" w:type="dxa"/>
          <w:left w:w="28" w:type="dxa"/>
          <w:bottom w:w="28" w:type="dxa"/>
          <w:right w:w="28" w:type="dxa"/>
        </w:tblCellMar>
      </w:tblPr>
      <w:tblGrid>
        <w:gridCol w:w="1432"/>
        <w:gridCol w:w="1261"/>
        <w:gridCol w:w="1266"/>
        <w:gridCol w:w="734"/>
        <w:gridCol w:w="734"/>
        <w:gridCol w:w="736"/>
        <w:gridCol w:w="109"/>
        <w:gridCol w:w="109"/>
        <w:gridCol w:w="109"/>
        <w:gridCol w:w="287"/>
        <w:gridCol w:w="839"/>
        <w:gridCol w:w="148"/>
        <w:gridCol w:w="109"/>
        <w:gridCol w:w="109"/>
        <w:gridCol w:w="109"/>
        <w:gridCol w:w="380"/>
        <w:gridCol w:w="1110"/>
        <w:gridCol w:w="279"/>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as of 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 ("Asahi")</w:t>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Tamron Akuatik Produk Industri ("Tamron")</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investments</w:t>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investment in Tamron is accounted for using the measurement alternative under Accounting Standards Codification (“ASC”) Topic 321 </w:t>
      </w:r>
      <w:r>
        <w:rPr>
          <w:rFonts w:ascii="Times New Roman;sans-serif" w:hAnsi="Times New Roman;sans-serif"/>
          <w:b w:val="false"/>
          <w:i/>
          <w:color w:val="000000"/>
          <w:sz w:val="20"/>
        </w:rPr>
        <w:t>Investments—Equity Securities</w:t>
      </w:r>
      <w:r>
        <w:rPr>
          <w:rFonts w:ascii="Times New Roman;sans-serif" w:hAnsi="Times New Roman;sans-serif"/>
          <w:b w:val="false"/>
          <w:color w:val="000000"/>
          <w:sz w:val="20"/>
        </w:rPr>
        <w:t>, which is measured at cost, less any impairment, plus or minus changes resulting from observable price changes in orderly transactions for identical or similar investments, if any. The investment in Asahi is accounted for under the equity method due to the fact that the Company has significant influence but does not exercise control over this investee. The Company determined there was no impairment as of June 30, 2023 and December 31, 2022 for these investments.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p>
      <w:pPr>
        <w:pStyle w:val="TextBody"/>
        <w:bidi w:val="0"/>
        <w:spacing w:before="0" w:after="0"/>
        <w:jc w:val="left"/>
        <w:rPr/>
      </w:pPr>
      <w:r>
        <w:rPr/>
      </w:r>
    </w:p>
    <w:tbl>
      <w:tblPr>
        <w:tblW w:w="7342" w:type="dxa"/>
        <w:jc w:val="left"/>
        <w:tblInd w:w="0" w:type="dxa"/>
        <w:tblLayout w:type="fixed"/>
        <w:tblCellMar>
          <w:top w:w="28" w:type="dxa"/>
          <w:left w:w="28" w:type="dxa"/>
          <w:bottom w:w="28" w:type="dxa"/>
          <w:right w:w="28" w:type="dxa"/>
        </w:tblCellMar>
      </w:tblPr>
      <w:tblGrid>
        <w:gridCol w:w="1319"/>
        <w:gridCol w:w="1160"/>
        <w:gridCol w:w="1165"/>
        <w:gridCol w:w="109"/>
        <w:gridCol w:w="109"/>
        <w:gridCol w:w="109"/>
        <w:gridCol w:w="258"/>
        <w:gridCol w:w="883"/>
        <w:gridCol w:w="133"/>
        <w:gridCol w:w="109"/>
        <w:gridCol w:w="109"/>
        <w:gridCol w:w="109"/>
        <w:gridCol w:w="344"/>
        <w:gridCol w:w="1175"/>
        <w:gridCol w:w="251"/>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hierarchy for its assets and liabilities measured at fair value on a recurring basis as of the dates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9"/>
        <w:gridCol w:w="219"/>
        <w:gridCol w:w="224"/>
        <w:gridCol w:w="253"/>
        <w:gridCol w:w="524"/>
        <w:gridCol w:w="140"/>
        <w:gridCol w:w="109"/>
        <w:gridCol w:w="109"/>
        <w:gridCol w:w="109"/>
        <w:gridCol w:w="247"/>
        <w:gridCol w:w="532"/>
        <w:gridCol w:w="139"/>
        <w:gridCol w:w="109"/>
        <w:gridCol w:w="109"/>
        <w:gridCol w:w="109"/>
        <w:gridCol w:w="281"/>
        <w:gridCol w:w="583"/>
        <w:gridCol w:w="158"/>
        <w:gridCol w:w="109"/>
        <w:gridCol w:w="109"/>
        <w:gridCol w:w="109"/>
        <w:gridCol w:w="196"/>
        <w:gridCol w:w="421"/>
        <w:gridCol w:w="109"/>
        <w:gridCol w:w="109"/>
        <w:gridCol w:w="109"/>
        <w:gridCol w:w="109"/>
        <w:gridCol w:w="253"/>
        <w:gridCol w:w="524"/>
        <w:gridCol w:w="140"/>
        <w:gridCol w:w="109"/>
        <w:gridCol w:w="109"/>
        <w:gridCol w:w="109"/>
        <w:gridCol w:w="247"/>
        <w:gridCol w:w="532"/>
        <w:gridCol w:w="139"/>
        <w:gridCol w:w="109"/>
        <w:gridCol w:w="109"/>
        <w:gridCol w:w="109"/>
        <w:gridCol w:w="281"/>
        <w:gridCol w:w="583"/>
        <w:gridCol w:w="158"/>
        <w:gridCol w:w="109"/>
        <w:gridCol w:w="109"/>
        <w:gridCol w:w="109"/>
        <w:gridCol w:w="196"/>
        <w:gridCol w:w="421"/>
        <w:gridCol w:w="167"/>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3"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Assets:</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6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6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69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follows the provisions of ASC Topic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which clarifies the definition of fair value, prescribes methods for measuring fair value, and establishes a fair value hierarchy to classify the inputs used in measuring fair value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1 - Inputs are unadjusted quoted prices in active markets for identical assets or liabilities available at the measurement date.</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3 - Inputs are unobservable inputs which reflect the reporting entity’s own assumptions about what assumptions market participants would use in pricing the asset or liability based on the best available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condensed consolidated balance sheets for cash, accounts receivable, advances to suppliers, other current assets, accounts payable, checks issued not presented for payment and accrued expenses and other liabilities approximate their fair value based on the short-term maturity of these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Note 8 - Derivative Financial Instruments</w:t>
      </w:r>
      <w:r>
        <w:rPr>
          <w:color w:val="000000"/>
        </w:rPr>
        <w:t xml:space="preserve"> </w:t>
      </w:r>
      <w:r>
        <w:rPr>
          <w:rFonts w:ascii="Times New Roman;sans-serif" w:hAnsi="Times New Roman;sans-serif"/>
          <w:b w:val="false"/>
          <w:color w:val="000000"/>
          <w:sz w:val="20"/>
        </w:rPr>
        <w:t xml:space="preserve">for additional information regarding the Company’s interest rate swaps.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Carrying Value and Estimated Fair Value of Outstanding Debt</w:t>
      </w:r>
      <w:r>
        <w:rPr>
          <w:color w:val="000000"/>
        </w:rPr>
        <w:t xml:space="preserve"> </w:t>
      </w:r>
      <w:r>
        <w:rPr>
          <w:rFonts w:ascii="Times New Roman;sans-serif" w:hAnsi="Times New Roman;sans-serif"/>
          <w:b w:val="false"/>
          <w:color w:val="000000"/>
          <w:sz w:val="20"/>
        </w:rPr>
        <w:t xml:space="preserve">- The following table presents the carrying value and estimated fair value of the Company’s outstanding debt as described in </w:t>
      </w:r>
      <w:r>
        <w:rPr>
          <w:rFonts w:ascii="Times New Roman;sans-serif" w:hAnsi="Times New Roman;sans-serif"/>
          <w:b w:val="false"/>
          <w:i/>
          <w:color w:val="000000"/>
          <w:sz w:val="20"/>
        </w:rPr>
        <w:t>Note 9 - Debt</w:t>
      </w:r>
      <w:r>
        <w:rPr>
          <w:color w:val="000000"/>
        </w:rPr>
        <w:t xml:space="preserve"> </w:t>
      </w:r>
      <w:r>
        <w:rPr>
          <w:rFonts w:ascii="Times New Roman;sans-serif" w:hAnsi="Times New Roman;sans-serif"/>
          <w:b w:val="false"/>
          <w:color w:val="000000"/>
          <w:sz w:val="20"/>
        </w:rPr>
        <w:t>of the Notes to the Unaudited Condensed Consolidated Financial Statements, including the current portion, as of the dates indicated:</w:t>
      </w:r>
    </w:p>
    <w:p>
      <w:pPr>
        <w:pStyle w:val="TextBody"/>
        <w:bidi w:val="0"/>
        <w:spacing w:before="0" w:after="0"/>
        <w:jc w:val="both"/>
        <w:rPr/>
      </w:pPr>
      <w:r>
        <w:rPr/>
      </w:r>
    </w:p>
    <w:tbl>
      <w:tblPr>
        <w:tblW w:w="7907" w:type="dxa"/>
        <w:jc w:val="left"/>
        <w:tblInd w:w="0" w:type="dxa"/>
        <w:tblLayout w:type="fixed"/>
        <w:tblCellMar>
          <w:top w:w="28" w:type="dxa"/>
          <w:left w:w="28" w:type="dxa"/>
          <w:bottom w:w="28" w:type="dxa"/>
          <w:right w:w="28" w:type="dxa"/>
        </w:tblCellMar>
      </w:tblPr>
      <w:tblGrid>
        <w:gridCol w:w="792"/>
        <w:gridCol w:w="697"/>
        <w:gridCol w:w="700"/>
        <w:gridCol w:w="109"/>
        <w:gridCol w:w="109"/>
        <w:gridCol w:w="109"/>
        <w:gridCol w:w="213"/>
        <w:gridCol w:w="411"/>
        <w:gridCol w:w="110"/>
        <w:gridCol w:w="109"/>
        <w:gridCol w:w="109"/>
        <w:gridCol w:w="109"/>
        <w:gridCol w:w="211"/>
        <w:gridCol w:w="826"/>
        <w:gridCol w:w="109"/>
        <w:gridCol w:w="109"/>
        <w:gridCol w:w="109"/>
        <w:gridCol w:w="109"/>
        <w:gridCol w:w="211"/>
        <w:gridCol w:w="616"/>
        <w:gridCol w:w="109"/>
        <w:gridCol w:w="109"/>
        <w:gridCol w:w="109"/>
        <w:gridCol w:w="109"/>
        <w:gridCol w:w="265"/>
        <w:gridCol w:w="1038"/>
        <w:gridCol w:w="137"/>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 w:type="dxa"/>
            <w:tcBorders/>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&amp;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&amp;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Please refer to </w:t>
      </w:r>
      <w:r>
        <w:rPr>
          <w:rFonts w:ascii="Times New Roman;sans-serif" w:hAnsi="Times New Roman;sans-serif"/>
          <w:b w:val="false"/>
          <w:i/>
          <w:color w:val="000000"/>
          <w:sz w:val="20"/>
        </w:rPr>
        <w:t>Note 9 - Debt</w:t>
      </w:r>
      <w:r>
        <w:rPr>
          <w:color w:val="000000"/>
        </w:rPr>
        <w:t xml:space="preserve"> </w:t>
      </w:r>
      <w:r>
        <w:rPr>
          <w:rFonts w:ascii="Times New Roman;sans-serif" w:hAnsi="Times New Roman;sans-serif"/>
          <w:b w:val="false"/>
          <w:color w:val="000000"/>
          <w:sz w:val="20"/>
        </w:rPr>
        <w:t>for additional information regarding the Company's debt.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of Sealand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completed the acquisition of substantially all of the operating assets of Sealand, including equipment, machinery and vehicles. The acquisition was completed to expand the Company's territory along the East Coast, from Massachusetts to Florida, as well as Pennsylvania, West Virginia, Ohio, Kentucky, and Tennessee.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price for the purchased assets was $20.0 million paid in cash at closing. In addition to the closing cash payment, the Company separately acquired all of the sellers' saleable product inventory, for approximately $14.4 million and additional fixed assets for approximately $0.5 million. The Company finalized its purchase accounting as of December 31,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accounted for this transaction under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xml:space="preserve">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for the six months ended June 30, 2022 totaled approximately $0.3 million and were reflected in distribution, selling and administrative expenses in the condensed consolidated statement of operations and comprehensive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herein was prepared based on the allocation of the purchase price using estimates of the fair value of assets acquired and liabilities assumed which were determined using a combination of quoted market prices, discounted cash flows, and other estimates made by management. The Company finalized the valuation of assets acquired and liabilities assumed for the Sealand acquisition as of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consideration paid to acquire the assets and liabilities of Sealand, as set forth below:</w:t>
      </w:r>
    </w:p>
    <w:p>
      <w:pPr>
        <w:pStyle w:val="TextBody"/>
        <w:bidi w:val="0"/>
        <w:spacing w:before="0" w:after="0"/>
        <w:jc w:val="both"/>
        <w:rPr/>
      </w:pPr>
      <w:r>
        <w:rPr/>
      </w:r>
    </w:p>
    <w:tbl>
      <w:tblPr>
        <w:tblW w:w="4134" w:type="dxa"/>
        <w:jc w:val="left"/>
        <w:tblInd w:w="0" w:type="dxa"/>
        <w:tblLayout w:type="fixed"/>
        <w:tblCellMar>
          <w:top w:w="28" w:type="dxa"/>
          <w:left w:w="28" w:type="dxa"/>
          <w:bottom w:w="28" w:type="dxa"/>
          <w:right w:w="28" w:type="dxa"/>
        </w:tblCellMar>
      </w:tblPr>
      <w:tblGrid>
        <w:gridCol w:w="1063"/>
        <w:gridCol w:w="936"/>
        <w:gridCol w:w="940"/>
        <w:gridCol w:w="109"/>
        <w:gridCol w:w="211"/>
        <w:gridCol w:w="721"/>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acquired intangible assets of $14.7 million, which were measured at fair value using Level 3 inputs. These intangible assets include tradenames and trademarks of $4.4 million, customer relationships of $8.9 million and non-competition agreements of $1.4 million. The fair value of customer relationships was determined by applying the income approach utilizing the excess earnings methodology and Level 3 inputs including a discount rate. The fair value of tradenames and trademarks was determined by applying the income approach utilizing the relief from royalty methodology and Level 3 inputs including a royalty rate of 1% and a discount rate. The fair value of non-competition agreements was determined by applying the income approach and Level 3 inputs including a discount rate. Discount rates used in determining fair values for customer relationships, tradenames and trademarks, and non-competition agreements ranged from 17.5% to 18.0%. The useful lives of the tradenames and trademarks are ten years, customer relationships are ten years and non-competition agreements are three years, with a weighted average amortization period of approximately nine years. The associated goodwill is deductible for tax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Unaudited Supplemental Pro Forma Financial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Company’s unaudited pro forma results for the three and six months ended June 30, 2022, as if the acquisition of Sealand had been consummated on January 1, 2022. The unaudited pro forma financial information presented includes the effects of adjustments related to the amortization of acquired intangible assets and excludes other non-recurring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costs directly associated with the acquisition such as legal and other professional service fees. Statutory rates were used to calculate income taxes. </w:t>
      </w:r>
    </w:p>
    <w:p>
      <w:pPr>
        <w:pStyle w:val="TextBody"/>
        <w:bidi w:val="0"/>
        <w:spacing w:before="0" w:after="0"/>
        <w:jc w:val="both"/>
        <w:rPr/>
      </w:pPr>
      <w:r>
        <w:rPr/>
      </w:r>
    </w:p>
    <w:tbl>
      <w:tblPr>
        <w:tblW w:w="10072" w:type="dxa"/>
        <w:jc w:val="left"/>
        <w:tblInd w:w="0" w:type="dxa"/>
        <w:tblLayout w:type="fixed"/>
        <w:tblCellMar>
          <w:top w:w="28" w:type="dxa"/>
          <w:left w:w="28" w:type="dxa"/>
          <w:bottom w:w="28" w:type="dxa"/>
          <w:right w:w="28" w:type="dxa"/>
        </w:tblCellMar>
      </w:tblPr>
      <w:tblGrid>
        <w:gridCol w:w="1407"/>
        <w:gridCol w:w="1235"/>
        <w:gridCol w:w="1243"/>
        <w:gridCol w:w="109"/>
        <w:gridCol w:w="109"/>
        <w:gridCol w:w="109"/>
        <w:gridCol w:w="524"/>
        <w:gridCol w:w="2054"/>
        <w:gridCol w:w="271"/>
        <w:gridCol w:w="109"/>
        <w:gridCol w:w="109"/>
        <w:gridCol w:w="109"/>
        <w:gridCol w:w="475"/>
        <w:gridCol w:w="1862"/>
        <w:gridCol w:w="347"/>
      </w:tblGrid>
      <w:tr>
        <w:trP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609,685 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 attributable to HF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earnings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earnings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weighted average shares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53,706,392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53,706,392</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weighted average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53,900,883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53,927,957</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Goodwill and 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$85.1 million as of June 30, 2023 and December 31, 2022. There was no change in the carrying amount of goodwill for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intangible assets are as follows:</w:t>
      </w:r>
    </w:p>
    <w:p>
      <w:pPr>
        <w:pStyle w:val="TextBody"/>
        <w:bidi w:val="0"/>
        <w:spacing w:before="0" w:after="0"/>
        <w:jc w:val="both"/>
        <w:rPr/>
      </w:pPr>
      <w:r>
        <w:rPr/>
      </w:r>
    </w:p>
    <w:tbl>
      <w:tblPr>
        <w:tblW w:w="10599" w:type="dxa"/>
        <w:jc w:val="left"/>
        <w:tblInd w:w="0" w:type="dxa"/>
        <w:tblLayout w:type="fixed"/>
        <w:tblCellMar>
          <w:top w:w="28" w:type="dxa"/>
          <w:left w:w="28" w:type="dxa"/>
          <w:bottom w:w="28" w:type="dxa"/>
          <w:right w:w="28" w:type="dxa"/>
        </w:tblCellMar>
      </w:tblPr>
      <w:tblGrid>
        <w:gridCol w:w="548"/>
        <w:gridCol w:w="482"/>
        <w:gridCol w:w="486"/>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(47,465)</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(39,323)</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acquired intangible assets was $4.1 million and $4.0 million for the three months ended June 30, 2023 and 2022, respectively. Amortization expense for acquired intangible assets was $8.1 million and $7.6 million for the six months ended June 30, 2023 and 2022, respectively. During the three months ended June 30, 2022, the Company impaired its acquired developed technology and recognized impairment expense of $0.4 million in distribution, selling and administrative expenses in the unaudited condensed consolidated statements of income and comprehensive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utilizes interest rate swaps ("IRS") for the sole purpose of mitigating interest rate fluctuation risk associated with floating rate debt instruments (as defined in </w:t>
      </w:r>
      <w:r>
        <w:rPr>
          <w:rFonts w:ascii="Times New Roman;sans-serif" w:hAnsi="Times New Roman;sans-serif"/>
          <w:b w:val="false"/>
          <w:i/>
          <w:color w:val="000000"/>
          <w:sz w:val="20"/>
        </w:rPr>
        <w:t>Note 9 - Debt</w:t>
      </w:r>
      <w:r>
        <w:rPr>
          <w:rFonts w:ascii="Times New Roman;sans-serif" w:hAnsi="Times New Roman;sans-serif"/>
          <w:b w:val="false"/>
          <w:color w:val="000000"/>
          <w:sz w:val="20"/>
        </w:rPr>
        <w:t>). The Company does not use any other derivative financial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20, 2019, HF Group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On December 19, 2019, HF Group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The BOA IRS was modified accordingly to fix the SOFR based loan to approximately 4.50%. The term loan and corresponding BOA IRS contract mature in December 2029.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the Company entered into an amortizing IRS contract with J.P. 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aforementioned IRS contracts currently in place and did not designate those as cash flow hedges. Hence, the fair value change on these IRS contracts are accounted for and recognized as a change in fair value of IRS contracts in the condensed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determined that the fair values of the IRS contracts were $0.6 million in an asset position. As of December 31, 2022, the fair values of the IRS contracts were $0.5 million in an asset position. The Company includes these in other long-term assets and other long-term liabilities, respectively, on the condensed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inputs used to determine the fair value of the IRS are classified as Level 2 on the fair value hierarchy.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at June 30, 2023 and December 31, 2022 is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3"/>
        <w:gridCol w:w="635"/>
        <w:gridCol w:w="640"/>
        <w:gridCol w:w="109"/>
        <w:gridCol w:w="109"/>
        <w:gridCol w:w="109"/>
        <w:gridCol w:w="729"/>
        <w:gridCol w:w="716"/>
        <w:gridCol w:w="725"/>
        <w:gridCol w:w="109"/>
        <w:gridCol w:w="109"/>
        <w:gridCol w:w="109"/>
        <w:gridCol w:w="690"/>
        <w:gridCol w:w="690"/>
        <w:gridCol w:w="693"/>
        <w:gridCol w:w="109"/>
        <w:gridCol w:w="109"/>
        <w:gridCol w:w="109"/>
        <w:gridCol w:w="211"/>
        <w:gridCol w:w="830"/>
        <w:gridCol w:w="109"/>
        <w:gridCol w:w="109"/>
        <w:gridCol w:w="109"/>
        <w:gridCol w:w="109"/>
        <w:gridCol w:w="260"/>
        <w:gridCol w:w="1020"/>
        <w:gridCol w:w="196"/>
      </w:tblGrid>
      <w:tr>
        <w:trPr/>
        <w:tc>
          <w:tcPr>
            <w:tcW w:w="75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Bank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at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Bank of America </w:t>
            </w: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2026 - December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4.28% - 5.80%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East West Bank </w:t>
            </w: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2027 - 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4.40% - 8.75%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JPMorgan Chase &amp; Co. </w:t>
            </w: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2023 - 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6.77% - 7.14%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finance institutions </w:t>
            </w:r>
            <w:r>
              <w:rPr>
                <w:rFonts w:ascii="Times New Roman;sans-serif" w:hAnsi="Times New Roman;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2023 - March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5.99% - 6.14%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 xml:space="preserve">(a)Loan balance consists of real estate term loan and equipment term loan, collateralized by one real property and specific equipment. </w:t>
      </w:r>
      <w:r>
        <w:rPr>
          <w:rFonts w:ascii="Times New Roman;sans-serif" w:hAnsi="Times New Roman;sans-serif"/>
          <w:b w:val="false"/>
          <w:color w:val="000000"/>
          <w:sz w:val="16"/>
        </w:rPr>
        <w:t xml:space="preserve">The real estate term loan is pegged to TERM SOFR + 2.5%. </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(b)</w:t>
      </w:r>
      <w:r>
        <w:rPr>
          <w:rFonts w:ascii="Times New Roman;sans-serif" w:hAnsi="Times New Roman;sans-serif"/>
          <w:b w:val="false"/>
          <w:color w:val="000000"/>
          <w:sz w:val="16"/>
        </w:rPr>
        <w:t>Real estate term loans with East West Bank are collateralized by four real properties. Balloon payments of $1.8 million and $2.9 million are due at maturity in 2027 and 2029,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(c)Real estate term loan with a principal balance of $108.8 million as of June 30, 2023 and 111.4 million as of December 31, 2022 is secured by assets held by the Company and has a maturity date of January 2030. Equipment term loan with a principal balance of $0.1 million as of June 30, 2023 and $0.3 million as of December 31, 2022 is secured by specific vehicles and equipment as defined in loan agreements. Equipment term loan matures in December 2023.</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(d)Secured by vehicles.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various loan agreements related to long-term bank borrowings require the Company to comply with certain financial covenants, including, but not limited to, a fixed charge coverage ratio and effective tangible net worth. As of June 30, 2023, the Company was in compliance with its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Earnings (Loss)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computes earnings per share (“EPS”) in accordance with ASC Topic 260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xml:space="preserve">. ASC 260 requires companies with complex capital structures to present basic and diluted EPS. Basic EPS is measured as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92,945 and 100,012 potential common shares related to performance-based restricted stock units and restricted stock units that were excluded from the calculation of diluted EPS for the three and six months ended June 30, 2023, respectively, because their effect would have been anti-dilutive. There were 3,471 and 3,668 potential common shares related to total shareholder return performance-based restricted stock units that were excluded from the calculation of diluted EPS for the three and six months ended June 30, 2022, respectively, because their effect would have been anti-dilutive.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EPS: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59"/>
        <w:gridCol w:w="1152"/>
        <w:gridCol w:w="1159"/>
        <w:gridCol w:w="109"/>
        <w:gridCol w:w="109"/>
        <w:gridCol w:w="109"/>
        <w:gridCol w:w="309"/>
        <w:gridCol w:w="772"/>
        <w:gridCol w:w="125"/>
        <w:gridCol w:w="125"/>
        <w:gridCol w:w="125"/>
        <w:gridCol w:w="125"/>
        <w:gridCol w:w="275"/>
        <w:gridCol w:w="806"/>
        <w:gridCol w:w="125"/>
        <w:gridCol w:w="109"/>
        <w:gridCol w:w="109"/>
        <w:gridCol w:w="109"/>
        <w:gridCol w:w="270"/>
        <w:gridCol w:w="811"/>
        <w:gridCol w:w="112"/>
        <w:gridCol w:w="112"/>
        <w:gridCol w:w="112"/>
        <w:gridCol w:w="112"/>
        <w:gridCol w:w="275"/>
        <w:gridCol w:w="806"/>
        <w:gridCol w:w="112"/>
        <w:gridCol w:w="109"/>
        <w:gridCol w:w="163"/>
      </w:tblGrid>
      <w:tr>
        <w:trPr/>
        <w:tc>
          <w:tcPr>
            <w:tcW w:w="14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272" w:type="dxa"/>
            <w:gridSpan w:val="2"/>
            <w:tcBorders/>
          </w:tcPr>
          <w:p>
            <w:pPr>
              <w:pStyle w:val="TableContents"/>
              <w:bidi w:val="0"/>
              <w:spacing w:before="0" w:after="283"/>
              <w:jc w:val="left"/>
              <w:rPr>
                <w:sz w:val="4"/>
                <w:szCs w:val="4"/>
              </w:rPr>
            </w:pPr>
            <w:r>
              <w:rPr>
                <w:sz w:val="4"/>
                <w:szCs w:val="4"/>
              </w:rPr>
            </w:r>
          </w:p>
        </w:tc>
      </w:tr>
      <w:tr>
        <w:trPr/>
        <w:tc>
          <w:tcPr>
            <w:tcW w:w="3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HF Foods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54,046,328 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53,706,392 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53,935,178 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53,706,392 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54,046,328 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53,900,883 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53,935,178 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53,927,957 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Income Taxes</w:t>
      </w:r>
    </w:p>
    <w:p>
      <w:pPr>
        <w:pStyle w:val="TextBody"/>
        <w:bidi w:val="0"/>
        <w:spacing w:lineRule="auto" w:line="288" w:before="240" w:after="283"/>
        <w:jc w:val="both"/>
        <w:rPr/>
      </w:pPr>
      <w:r>
        <w:rPr>
          <w:rFonts w:ascii="Times New Roman;sans-serif" w:hAnsi="Times New Roman;sans-serif"/>
          <w:b w:val="false"/>
          <w:color w:val="000000"/>
          <w:sz w:val="20"/>
        </w:rPr>
        <w:t>The Company has computed its provision for income taxes under the discrete method which treats the year-to-date period as if it were the annual period and determines the income tax expense or benefit on that basis. The Company believes that, at this time, the use of the discrete method is more appropriate than the estimated annual effective tax rate method as the estimated annual effective tax rate method is not reliable</w:t>
      </w:r>
      <w:r>
        <w:rPr>
          <w:rFonts w:ascii="Arial;sans-serif" w:hAnsi="Arial;sans-serif"/>
          <w:b w:val="false"/>
          <w:color w:val="FF0000"/>
          <w:sz w:val="20"/>
        </w:rPr>
        <w: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the Company's effective income tax rate of (15.5)% and 21.5%, respectively, differed from the federal statutory tax rate primarily as a result of permanent differences and state income taxes. For the three and six months ended June 30, 2022, the Company's effective income tax rate of 19.6% and 22.4%, respectively, differed from the federal statutory tax rate primarily as a result of state income taxes.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Xiao Mou Zhang (“Mr. Zhang”) became the sole Chief Executive Officer on February 23, 2021. Mr. Xiao Mou Zhang and certain of his immediate family also have ownership interests in various related parties involved in (i) the distribution of food and related products to restaurants and other retailers and (ii) the supply of fresh food, frozen food, and packaging supplies to distributors.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Mr. Zhou Min Ni (“Mr. Ni”), the Company’s former Co-Chief Executive Officer, together with various trusts for the benefit of Mr. Ni's four children, are collectively the beneficial owners of approximately 25% of the Company’s outstanding shares of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North Carolina Good Taste Noodle, Inc. (“NC Noodle”) was a related party due to Mr. Jian Ming Ni's, a former Chief Financial Officer of the Company, continued ownership interest in NC Noodle. As of January 1, 2023, NC Noodle is no longer considered a related party since it has been three years since Mr. Jian Ming Ni resigned.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related party transactions as of June 30, 2023 and December 31, 2022 and for the three and six months ended June 30, 2023 and 2022 are identified as follows: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Sales, Purchases, and Lease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purchases of goods and services from related parties recorded for the three and six months ended June 30, 2023 and 2022, respectively: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55"/>
        <w:gridCol w:w="1042"/>
        <w:gridCol w:w="1045"/>
        <w:gridCol w:w="109"/>
        <w:gridCol w:w="109"/>
        <w:gridCol w:w="109"/>
        <w:gridCol w:w="230"/>
        <w:gridCol w:w="230"/>
        <w:gridCol w:w="231"/>
        <w:gridCol w:w="109"/>
        <w:gridCol w:w="109"/>
        <w:gridCol w:w="109"/>
        <w:gridCol w:w="233"/>
        <w:gridCol w:w="682"/>
        <w:gridCol w:w="120"/>
        <w:gridCol w:w="120"/>
        <w:gridCol w:w="120"/>
        <w:gridCol w:w="120"/>
        <w:gridCol w:w="233"/>
        <w:gridCol w:w="682"/>
        <w:gridCol w:w="120"/>
        <w:gridCol w:w="109"/>
        <w:gridCol w:w="109"/>
        <w:gridCol w:w="109"/>
        <w:gridCol w:w="214"/>
        <w:gridCol w:w="627"/>
        <w:gridCol w:w="110"/>
        <w:gridCol w:w="110"/>
        <w:gridCol w:w="110"/>
        <w:gridCol w:w="110"/>
        <w:gridCol w:w="214"/>
        <w:gridCol w:w="735"/>
        <w:gridCol w:w="110"/>
        <w:gridCol w:w="109"/>
        <w:gridCol w:w="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Eastern Fresh NJ,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“GA-GW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Seafood,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Fujian RongFeng Plastic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Good Taste Noodle,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Pacific Seafood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(b)Mr. Ni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(c)Mr. Ni owns an equity interest in this entity indirectly through its parent company.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 xml:space="preserve">(d)Mr. Jian Ming Ni, former Chief Financial Officer owns an equity interest in this entity. Mr. Zhou Min Ni previously owned an equity in this entity as of 12/31/2019. The Company has been informed by Mr. Zhou Min Ni that his equity interest was disposed of on 1/1/2020. No longer considered a related party as of 1/1/2023 </w:t>
      </w:r>
      <w:r>
        <w:rPr>
          <w:rFonts w:ascii="Times New Roman;sans-serif" w:hAnsi="Times New Roman;sans-serif"/>
          <w:b w:val="false"/>
          <w:color w:val="000000"/>
          <w:sz w:val="16"/>
        </w:rPr>
        <w:t>since it has been three years since Mr. Jian Ming Ni resigned</w:t>
      </w:r>
      <w:r>
        <w:rPr>
          <w:rFonts w:ascii="Times New Roman;sans-serif" w:hAnsi="Times New Roman;sans-serif"/>
          <w:b w:val="false"/>
          <w:color w:val="000000"/>
          <w:sz w:val="16"/>
          <w:shd w:fill="FFFFFF" w:val="clear"/>
        </w:rPr>
        <w: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sales to related parties recorded for the three and six months ended June 30, 2023 and 2022, respectively:</w:t>
      </w:r>
    </w:p>
    <w:p>
      <w:pPr>
        <w:pStyle w:val="TextBody"/>
        <w:bidi w:val="0"/>
        <w:spacing w:before="0" w:after="0"/>
        <w:ind w:left="0" w:right="0" w:hanging="360"/>
        <w:jc w:val="left"/>
        <w:rPr/>
      </w:pPr>
      <w:r>
        <w:rPr/>
      </w:r>
    </w:p>
    <w:tbl>
      <w:tblPr>
        <w:tblW w:w="8456" w:type="dxa"/>
        <w:jc w:val="left"/>
        <w:tblInd w:w="0" w:type="dxa"/>
        <w:tblLayout w:type="fixed"/>
        <w:tblCellMar>
          <w:top w:w="28" w:type="dxa"/>
          <w:left w:w="28" w:type="dxa"/>
          <w:bottom w:w="28" w:type="dxa"/>
          <w:right w:w="28" w:type="dxa"/>
        </w:tblCellMar>
      </w:tblPr>
      <w:tblGrid>
        <w:gridCol w:w="125"/>
        <w:gridCol w:w="110"/>
        <w:gridCol w:w="110"/>
        <w:gridCol w:w="729"/>
        <w:gridCol w:w="729"/>
        <w:gridCol w:w="732"/>
        <w:gridCol w:w="109"/>
        <w:gridCol w:w="109"/>
        <w:gridCol w:w="109"/>
        <w:gridCol w:w="251"/>
        <w:gridCol w:w="735"/>
        <w:gridCol w:w="130"/>
        <w:gridCol w:w="130"/>
        <w:gridCol w:w="130"/>
        <w:gridCol w:w="130"/>
        <w:gridCol w:w="251"/>
        <w:gridCol w:w="735"/>
        <w:gridCol w:w="130"/>
        <w:gridCol w:w="109"/>
        <w:gridCol w:w="109"/>
        <w:gridCol w:w="109"/>
        <w:gridCol w:w="228"/>
        <w:gridCol w:w="668"/>
        <w:gridCol w:w="118"/>
        <w:gridCol w:w="118"/>
        <w:gridCol w:w="118"/>
        <w:gridCol w:w="118"/>
        <w:gridCol w:w="228"/>
        <w:gridCol w:w="668"/>
        <w:gridCol w:w="118"/>
        <w:gridCol w:w="109"/>
        <w:gridCol w:w="15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N&amp;F Logistics,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MF, owns an equity interest in this entity.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(d)Tina Ni, one of Mr. Ni’s family members, owns an equity interest in this entity indirectly through its parent company.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(e)Mr. Ni owns an equity interest in this entity indirectly through its parent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(f)Mr. Ni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(g)Tina Ni, one of Mr. Ni’s family members, owns an equity interest in this entity.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various facilities to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leased a warehouse to Enson Seafood GA Inc. (formerly GA-GW Seafood, Inc.) under an operating lease agreement expiring on September 21, 2027. On May 18, 2022, the Company sold the warehouse to Enson Seafood GA Inc., a related party, for approximately $7.2 million, recognized a gain of $1.5 million and used a portion of the proceeds to pay the outstanding balance of the Company's $4.5 million loan with First Horizon Bank. Rental income for the three months ended June 30, 2023 and 2022 was nil and $0.1 million, respectively, and is included in other income in the unaudited condensed consolidated statements of operations and comprehensive income (loss). Rental income for the six months ended June 30, 2023 and 2022 was nil and $0.2 million, respectively, which is included in other income in the unaudited condensed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incurred was $0.1 million and $0.1 million for the three months ended June 30, 2023 and 2022, respectively, which is included in distribution, selling and administrative expenses in the unaudited condensed consolidated statements of operations and comprehensive income (loss). Rent incurred to the related party was $0.2 million and $0.1 million for the six months ended June 30, 2023 and 2022, respectively, which is included in distribution, selling and administrative expenses in the unaudited condensed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 Related Parties,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accounts receivable with related parties recorded as of June 30, 2023 and December 31, 2022, respectively:</w:t>
      </w:r>
    </w:p>
    <w:p>
      <w:pPr>
        <w:pStyle w:val="TextBody"/>
        <w:bidi w:val="0"/>
        <w:spacing w:before="0" w:after="0"/>
        <w:jc w:val="both"/>
        <w:rPr/>
      </w:pPr>
      <w:r>
        <w:rPr/>
      </w:r>
    </w:p>
    <w:tbl>
      <w:tblPr>
        <w:tblW w:w="8917" w:type="dxa"/>
        <w:jc w:val="left"/>
        <w:tblInd w:w="0" w:type="dxa"/>
        <w:tblLayout w:type="fixed"/>
        <w:tblCellMar>
          <w:top w:w="28" w:type="dxa"/>
          <w:left w:w="28" w:type="dxa"/>
          <w:bottom w:w="28" w:type="dxa"/>
          <w:right w:w="28" w:type="dxa"/>
        </w:tblCellMar>
      </w:tblPr>
      <w:tblGrid>
        <w:gridCol w:w="125"/>
        <w:gridCol w:w="110"/>
        <w:gridCol w:w="110"/>
        <w:gridCol w:w="1623"/>
        <w:gridCol w:w="1623"/>
        <w:gridCol w:w="1629"/>
        <w:gridCol w:w="109"/>
        <w:gridCol w:w="109"/>
        <w:gridCol w:w="109"/>
        <w:gridCol w:w="342"/>
        <w:gridCol w:w="756"/>
        <w:gridCol w:w="176"/>
        <w:gridCol w:w="109"/>
        <w:gridCol w:w="109"/>
        <w:gridCol w:w="109"/>
        <w:gridCol w:w="448"/>
        <w:gridCol w:w="992"/>
        <w:gridCol w:w="32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as GA-GW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MF, owns an equity interest in this entity.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 of Mr. Zhang's children effective November 1, 2020.</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(d)Tina Ni, one of Mr. Ni’s family members, owns an equity interest in this entity indirectly through its parent company.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(e)Mr. Ni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(f)Mr. Ni owns an equity interest in this entity indirectly through its parent company.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(g)Tina Ni, one of Mr. Ni’s family members, owns an equity interest in this entity.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for 90% of the accounts receivable for Enson Seafood GA, Inc. as of June 30, 2023. This outstanding balance was reserved for 80% as of December 31, 2022. All other accounts receivable from these related parties are current and considered fully collectible. No additional allowance is deemed necessary as of June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Payable -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the accounts payable to related parties are payable upon demand without interest. Below is a summary of accounts payable with related parties recorded as of June 30, 2023 and December 31, 2022, respectively:</w:t>
      </w:r>
    </w:p>
    <w:p>
      <w:pPr>
        <w:pStyle w:val="TextBody"/>
        <w:bidi w:val="0"/>
        <w:spacing w:before="0" w:after="0"/>
        <w:jc w:val="both"/>
        <w:rPr/>
      </w:pPr>
      <w:r>
        <w:rPr/>
      </w:r>
    </w:p>
    <w:tbl>
      <w:tblPr>
        <w:tblW w:w="7371" w:type="dxa"/>
        <w:jc w:val="left"/>
        <w:tblInd w:w="0" w:type="dxa"/>
        <w:tblLayout w:type="fixed"/>
        <w:tblCellMar>
          <w:top w:w="28" w:type="dxa"/>
          <w:left w:w="28" w:type="dxa"/>
          <w:bottom w:w="28" w:type="dxa"/>
          <w:right w:w="28" w:type="dxa"/>
        </w:tblCellMar>
      </w:tblPr>
      <w:tblGrid>
        <w:gridCol w:w="125"/>
        <w:gridCol w:w="110"/>
        <w:gridCol w:w="110"/>
        <w:gridCol w:w="1108"/>
        <w:gridCol w:w="1108"/>
        <w:gridCol w:w="1113"/>
        <w:gridCol w:w="109"/>
        <w:gridCol w:w="109"/>
        <w:gridCol w:w="109"/>
        <w:gridCol w:w="342"/>
        <w:gridCol w:w="756"/>
        <w:gridCol w:w="176"/>
        <w:gridCol w:w="109"/>
        <w:gridCol w:w="109"/>
        <w:gridCol w:w="109"/>
        <w:gridCol w:w="380"/>
        <w:gridCol w:w="1110"/>
        <w:gridCol w:w="27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Good Taste Noodle,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Mr. Zhang previously owned an equity interest in this entity indirectly through its parent company as of October 31, 2020. This equity interest was transferred to three Irrevocable Trusts for the benefits of Mr. Zhang's children effective November 1, 2020.</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 xml:space="preserve">(b)Mr. Jian Ming Ni, former Chief Financial Officer owns an equity interest in this entity. Mr. Zhou Min Ni previously owned an equity in this entity as of 12/31/2019. The Company has been informed by Mr. Zhou Min Ni that his equity interest was disposed of on 1/1/2020. No longer considered a related party as of 1/1/2023 </w:t>
      </w:r>
      <w:r>
        <w:rPr>
          <w:rFonts w:ascii="Times New Roman;sans-serif" w:hAnsi="Times New Roman;sans-serif"/>
          <w:b w:val="false"/>
          <w:color w:val="000000"/>
          <w:sz w:val="16"/>
        </w:rPr>
        <w:t>since it has been three years since Mr. Jian Ming Ni resigned</w:t>
      </w:r>
      <w:r>
        <w:rPr>
          <w:rFonts w:ascii="Times New Roman;sans-serif" w:hAnsi="Times New Roman;sans-serif"/>
          <w:b w:val="false"/>
          <w:color w:val="000000"/>
          <w:sz w:val="16"/>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Promissory Note Payable - Related Party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a $7.0 million unsecured subordinated promissory note to B&amp;R Group Realty Holding, LLC in January 2020. During the three months ended June 30, 2022, the Company paid the remaining $4.5 million principal balance of this related party promissory note payable. Interest payments paid were $0.1 million for the three and six months ended June 30,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Stock-Based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began issuing awards under the HF Foods Group Inc. 2018 Omnibus Equity Incentive Plan (the “2018 Incentive Plan”), which reserves up to 3,000,000 shares of the Company's common stock for issuance of awards to employees, non-employee directors and consultants. As of June 30, 2023, the Company had 909,226 time-based vesting restricted stock units unvested, 678,381 performance-based restricted stock units unvested, 449,619 shares of common stock vested and 962,774 shares remaining available for future awards under the 2018 Incentive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$0.8 million and $0.2 million for the three months ended June 30, 2023 and 2022, respectively, and $1.8 million and $0.5 million for the six months ended June 30, 2023 and 2022, respectively. Stock-based compensation expense was included in distribution, selling and administrative expenses in the Company's unaudited condensed consolidated statements of income and comprehensive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$5.8 million of total unrecognized compensation cost related to all non-vested outstanding RSUs and PSUs outstanding under the 2018 Incentive Plan, with a weighted average remaining service period of 2.22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Commitments and Contingencies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its business. There also exists the possibility of a material adverse effect on the Company’s financial statements for the period in which the effect of an unfavorable outcome becomes probable and reasonably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March 2020, an analyst report suggested certain improprieties in the Company’s operations, and in response to those allegations, the Company’s Board of Directors appointed a Special Committee of Independent Directors (the “Special Investigation Committee”) to conduct an internal independent investigation with the assistance of counsel. These allegations became the subject of two putative stockholder class actions filed on or after March 29, 2020 in the United States District Court for the Central District of California generally alleging the Company and certain of its current and former directors and officers violated the Securities Exchange Act of 1934 and Rule 10b-5 promulgated thereunder by making allegedly false and misleading statements (the “Class Actions”). These Class Actions have since been dismissed and are now closed.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SEC initiated a formal, non-public investigation of the Company, and the SEC informally requested, and later issued a subpoena for, documents and other information. The subpoena relates to but is not necessarily limited to the matters identified in the Class Actions. The Special Investigation Committee and the Company are cooperating with the SEC.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SEC investigation is ongoing, the Special Investigation Committee has made certain factual findings based on evidence adduced during its investigation, and made recommendations to management regarding improvements to Company operations and structure, including but not limited to its dealings with related parties. The Company is working to implement those improvements.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 with any SEC investigation, there is also the possibility of potential fines and penalties.</w:t>
      </w:r>
      <w:r>
        <w:rPr>
          <w:color w:val="000000"/>
        </w:rPr>
        <w:t xml:space="preserve"> </w:t>
      </w:r>
      <w:r>
        <w:rPr>
          <w:rFonts w:ascii="Times New Roman;sans-serif" w:hAnsi="Times New Roman;sans-serif"/>
          <w:b w:val="false"/>
          <w:color w:val="000000"/>
          <w:sz w:val="20"/>
        </w:rPr>
        <w:t xml:space="preserve">At this time, however, there has not been a demand made by the SEC nor is it possible at this time to estimate the amount of any such fines and penalties, should they occur.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20, 2022, the Board of Directors of HF Foods received a letter from a stockholder, James Bishop (the “Bishop Demand”). The Bishop Demand alleges that certain current and former officers and directors of HF Foods engaged in misconduct and breached their fiduciary duties, and demands that HF Foods investigate the allegations and, if warranted, assert claims against those current or former officers and directors. Many of the allegations contained in the Bishop Demand were the subject of the Class Actions.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the Board of Directors of HF Foods resolved to form a special committee (the “Special Litigation Committee”) comprised of independent directors and advised by counsel to analyze and evaluate the allegations in the Bishop Demand to determine whether the Company should assert any claims based on the allegations made in the Bishop Demand against the current or former officers and directors.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2022, James Bishop filed a verified stockholder derivative complaint (the “Delaware Action”) in the Court of Chancery of the State of Delaware (the “Court of Chancery”), which asserts similar allegations to those set forth in the Bishop Demand. On September 21, 2022, Bishop and the Company filed a stipulation to stay the Delaware Action for 90 days, which the court granted on September 22, 2022. On December 20, 2022, Bishop and the Company filed a stipulation to extend the stay of the Delaware Action for an additional 60 days, which the court granted on December 21, 2022. On March 15, 2023, the Court of Chancery entered an order approving a joint stipulation submitted by Bishop and HF Foods to stay the case for an additional 60 days.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April 20, 2023, the Company and certain parties to the Delaware Action reached an agreement to settle the Delaware Action on the terms and conditions set forth in a binding term sheet, which was incorporated into a long-form settlement agreement on May 5, 2023 (the “Settlement Agreement”), which was filed with the Court of Chancery on May 8, 2023. The Settlement Agreement, which is subject to the approval of the Court of Chancery, provided for, among other things, the dismissal of the Delaware Action with prejudice, and releases of claims against all named defendants in the Delaware Action, in exchange for Zhou Min Ni, a former Chairman and Chief Executive Officer of the Company, and Chan Sin Wong, a former President and Chief Operating Officer of the Company, making a payment to the Company in the sum of $9.25 million and the Company adopting certain changes to its bylaws and/or other internal governance policies and procedures. On May 11, 2023, the Court of Chancery scheduled a hearing to be held on September 8, 2023, to consider, among other things, whether to approve the proposed settlement and an application by Bishop’s counsel for an award of attorneys’ fees and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AnHeart Lease Guarantee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provided a guarantee for two separate leases for two properties located in Manhattan, New York, at 273 Fifth Avenue and 275 Fifth Avenue, for 30 years and 15 years, respectively. The Company has determined that AnHeart is a VIE as a result of the guarantee. However, the Company concluded it is not the primary beneficiary of AnHeart and therefore does not consolidate, because it does not have the power to direct the activities of AnHeart that most significantly impact AnHeart's economic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Lease Agreement. The Company agreed to observe all the covenants and conditions of the Lease Agreement, as amended, including the payment of all rents due. Under the terms of the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litigation against AnHeart in exchange for AnHeart’s payment of certain back rent from January to April 2022 and its continued partial payment of monthly rent. The case remains pending in New York.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accordance with ASC Topic 460, </w:t>
      </w:r>
      <w:r>
        <w:rPr>
          <w:rFonts w:ascii="Times New Roman;sans-serif" w:hAnsi="Times New Roman;sans-serif"/>
          <w:b w:val="false"/>
          <w:i/>
          <w:color w:val="000000"/>
          <w:sz w:val="20"/>
        </w:rPr>
        <w:t>Guarantees</w:t>
      </w:r>
      <w:r>
        <w:rPr>
          <w:rFonts w:ascii="Times New Roman;sans-serif" w:hAnsi="Times New Roman;sans-serif"/>
          <w:b w:val="false"/>
          <w:color w:val="000000"/>
          <w:sz w:val="20"/>
        </w:rPr>
        <w:t>, the Company has determined that its maximum exposure resulting from the 275 Fifth Avenue lease guarantee includes future minimum lease payments plus potential additional payments to satisfy maintenance, property tax and insurance requirements under the leases with a remaining term of approximately 11 years. The Company elected a policy to apply the discounted cash flow method to loss contingencies with more than 18 months of payments. AnHeart is obligated to pay all costs associated with the properties, including taxes, insurance, utilities, maintenance and repairs. During the three months ended March 31, 2022, the Company recorded a lease guarantee liability of $5.9 million. The Company determined the discounted value of the lease guarantee liability using a discount rate of 4.55%. As of June 30, 2023, the Company had a lease guarantee liability of $5.6 million. The current portion of the lease guarantee liability of $0.3 million is recorded in accrued expenses and other liabilities, while the long-term portion is recorded in other long-term liabilities on the condensed consolidated balance sheet. The Company's monthly rental payments range from approximately $42,000 per month to $63,000 per month, with the final payment due in 2034.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minimum lease payments as of June 30, 2023 are presented below:</w:t>
      </w:r>
    </w:p>
    <w:tbl>
      <w:tblPr>
        <w:tblW w:w="3962" w:type="dxa"/>
        <w:jc w:val="left"/>
        <w:tblInd w:w="0" w:type="dxa"/>
        <w:tblLayout w:type="fixed"/>
        <w:tblCellMar>
          <w:top w:w="28" w:type="dxa"/>
          <w:left w:w="28" w:type="dxa"/>
          <w:bottom w:w="28" w:type="dxa"/>
          <w:right w:w="28" w:type="dxa"/>
        </w:tblCellMar>
      </w:tblPr>
      <w:tblGrid>
        <w:gridCol w:w="960"/>
        <w:gridCol w:w="845"/>
        <w:gridCol w:w="849"/>
        <w:gridCol w:w="109"/>
        <w:gridCol w:w="109"/>
        <w:gridCol w:w="109"/>
        <w:gridCol w:w="211"/>
        <w:gridCol w:w="61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elsewhere, no subsequent events have occurred that would require recognition in the unaudited condensed consolidated financial statements or disclosure in the accompanying notes.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 AND RISK FACTOR SUMMARY</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HF Foods Group Inc. (“HF Group,”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“ongoing,”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Important factors that could cause actual results to differ materially from our expectations, or cautionary statements, include without limitation:</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Low margins in the foodservice distribution industry and periods of significant or prolonged inflation or deflation;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Qualified labor shortages;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macroeconomic conditions in the United States;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in the foodservice distribution industry particularly the entry of new competitors into the Chinese/Asian restaurant supply market niche;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fuel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vendors and increases in product prices;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Dependency on the timely delivery of products from vendors, particularly the prolonged diminution of global supply chains;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effects of the COVID-19 pandemic or other pandemics;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steps taken by the governments where our suppliers are located, including the People’s Republic of China, to address the COVID-19 pandemic or other pandemics;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or loss of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consumer eating and dining out habits;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Related party transactions and possible conflicts of interests;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Related parties and variable interest entities consolidation;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protect our intellectual property rights;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renew or replace our current warehouse leases on favorable terms, or terminations prior to expiration of stated terms;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retain our senior management and other key personnel, particularly our CEO, COO, CFO and CCO/General Counsel;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train and retain employees;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enforcement of immigration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comply with various federal, state and local rules and regulations regarding food safety, sanitation, transportation, minimum wage, overtime and other health and safety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Product recalls, voluntary recalls or withdrawals if any of the products we distribute are alleged to have caused illness, been mislabeled, misbranded or adulterated or to otherwise have violated applicable government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Costs to comply with environmental laws and regulations;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Litigation;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commodity prices;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 government tariffs on products imported into the United States, particularly from China;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Severe weather, natural disasters and adverse climate change;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geopolitical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cyber security incident, other technology disruption or delay in implementing our information technology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Current indebtedness affecting our liquidity and ability of future financing;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acquire other distributors or wholesalers and enlarge our customer base could negatively impact our results of operations and financial condition;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Scarcity of and competition for acquisition opportunities;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acquisition financing;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non-cash charges relating to the amortization of intangible assets related to material acquisitions;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identify acquisition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debt in order to successfully implement our acquisition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in integrating operations, personnel, and assets of acquired businesses that may disrupt our business, dilute stockholder value, and adversely affect our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impact on the price and demand for our common stock resulting from the relative illiquidity of the market for our common stock;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stockholders’ ability to significantly influence the Company;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state antitakeover laws and related provisions in our governance documents.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These risks and uncertainties include, but are not limited to, those factors described under Item 1A. Risk Factors in our Annual Report on Form 10-K for the year ended December 31, 2022, filed with the SEC.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Asian specialty food products, seafood, fresh produce, frozen and dry food, and non-food products primarily to Asian restaurants and other foodservice customers throughout the United States. HF Group was formed through a merger between two complementary market leaders, HF Foods Group Inc. and B&amp;R Global.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April 29, 2022, HF Group acquired substantially all of the assets of Sealand Food, Inc. (the "Sealand Acquisition"), one of the largest frozen seafood suppliers servicing the Asian/Chinese restaurant market along the eastern seaboard, from Massachusetts to Florida, as well as Pennsylvania, West Virginia, Ohio, Kentucky, and Tennessee. See </w:t>
      </w:r>
      <w:r>
        <w:rPr>
          <w:rFonts w:ascii="Times New Roman;sans-serif" w:hAnsi="Times New Roman;sans-serif"/>
          <w:b w:val="false"/>
          <w:i/>
          <w:color w:val="000000"/>
          <w:sz w:val="20"/>
        </w:rPr>
        <w:t>Note 6 - Acquisitions</w:t>
      </w:r>
      <w:r>
        <w:rPr>
          <w:color w:val="000000"/>
        </w:rPr>
        <w:t xml:space="preserve"> </w:t>
      </w:r>
      <w:r>
        <w:rPr>
          <w:rFonts w:ascii="Times New Roman;sans-serif" w:hAnsi="Times New Roman;sans-serif"/>
          <w:b w:val="false"/>
          <w:color w:val="000000"/>
          <w:sz w:val="20"/>
        </w:rPr>
        <w:t>to the condensed consolidated financial statements in this Quarterly Report on Form 10-Q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aim to supply the increasing demand for Asian American restaurant cuisine, leveraging our nationwide network of distribution centers and our strong relations with growers and suppliers of fresh, high-quality specialty restaurant food products and supplies in the US, South America, and China. Capitalizing on our deep understanding of the Chinese culture, we have become a trusted partner serving Asian and Chinese restaurants and other foodservice customers throughout the United States, providing sales and service support to customers who mainly converse in Mandarin or other Chinese dialects. We are dedicated to serving the vast array of Asian and Chinese restaurants in need of high-quality and specialized food ingredients at competitive prices.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Overview</w:t>
      </w:r>
    </w:p>
    <w:tbl>
      <w:tblPr>
        <w:tblW w:w="10835" w:type="dxa"/>
        <w:jc w:val="left"/>
        <w:tblInd w:w="0" w:type="dxa"/>
        <w:tblLayout w:type="fixed"/>
        <w:tblCellMar>
          <w:top w:w="28" w:type="dxa"/>
          <w:left w:w="28" w:type="dxa"/>
          <w:bottom w:w="28" w:type="dxa"/>
          <w:right w:w="28" w:type="dxa"/>
        </w:tblCellMar>
      </w:tblPr>
      <w:tblGrid>
        <w:gridCol w:w="304"/>
        <w:gridCol w:w="268"/>
        <w:gridCol w:w="269"/>
        <w:gridCol w:w="196"/>
        <w:gridCol w:w="736"/>
        <w:gridCol w:w="109"/>
        <w:gridCol w:w="109"/>
        <w:gridCol w:w="109"/>
        <w:gridCol w:w="109"/>
        <w:gridCol w:w="196"/>
        <w:gridCol w:w="736"/>
        <w:gridCol w:w="109"/>
        <w:gridCol w:w="109"/>
        <w:gridCol w:w="109"/>
        <w:gridCol w:w="109"/>
        <w:gridCol w:w="196"/>
        <w:gridCol w:w="571"/>
        <w:gridCol w:w="109"/>
        <w:gridCol w:w="109"/>
        <w:gridCol w:w="109"/>
        <w:gridCol w:w="109"/>
        <w:gridCol w:w="284"/>
        <w:gridCol w:w="287"/>
        <w:gridCol w:w="256"/>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85"/>
        <w:gridCol w:w="286"/>
        <w:gridCol w:w="30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our non-GAAP financial measures, EBITDA and Adjusted EBITDA, see the section entitled “EBITDA and Adjusted EBITDA”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How to Assess HF Group’s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Revenue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Group’s results as reported under GAAP. For example, Adjusted EBITDA:</w:t>
      </w:r>
    </w:p>
    <w:p>
      <w:pPr>
        <w:pStyle w:val="TextBody"/>
        <w:bidi w:val="0"/>
        <w:spacing w:before="0" w:after="0"/>
        <w:jc w:val="both"/>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excludes certain tax payments that may represent a reduction in cash available;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does not reflect any cash capital expenditure requirements for the assets being depreciated and amortized that may have to be replaced in the future;</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changes in, or cash requirements for, our working capital needs; and</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the significant interest expense, or the cash requirements, necessary to service our debt.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additional information on EBITDA and Adjusted EBITDA and a reconciliation to their most directly comparable U.S. GAAP financial measures, see “</w:t>
      </w:r>
      <w:r>
        <w:rPr>
          <w:rFonts w:ascii="Times New Roman;sans-serif" w:hAnsi="Times New Roman;sans-serif"/>
          <w:b w:val="false"/>
          <w:i/>
          <w:color w:val="000000"/>
          <w:sz w:val="20"/>
        </w:rPr>
        <w:t>Results of Operations — EBITDA and Adjusted EBITDA</w:t>
      </w:r>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Three Months Ended June 30, 2023 to Three Months Ended June 30,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sets forth a summary of our consolidated results of operations for the three months ended June 30, 2023</w:t>
      </w:r>
      <w:r>
        <w:rPr>
          <w:color w:val="000000"/>
        </w:rPr>
        <w:t xml:space="preserve"> </w:t>
      </w:r>
      <w:r>
        <w:rPr>
          <w:rFonts w:ascii="Times New Roman;sans-serif" w:hAnsi="Times New Roman;sans-serif"/>
          <w:b w:val="false"/>
          <w:color w:val="000000"/>
          <w:sz w:val="20"/>
        </w:rPr>
        <w:t>and 2022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1865"/>
        <w:gridCol w:w="1621"/>
        <w:gridCol w:w="1582"/>
        <w:gridCol w:w="211"/>
        <w:gridCol w:w="827"/>
        <w:gridCol w:w="109"/>
        <w:gridCol w:w="109"/>
        <w:gridCol w:w="109"/>
        <w:gridCol w:w="109"/>
        <w:gridCol w:w="211"/>
        <w:gridCol w:w="827"/>
        <w:gridCol w:w="109"/>
        <w:gridCol w:w="109"/>
        <w:gridCol w:w="109"/>
        <w:gridCol w:w="109"/>
        <w:gridCol w:w="211"/>
        <w:gridCol w:w="669"/>
        <w:gridCol w:w="109"/>
        <w:gridCol w:w="109"/>
        <w:gridCol w:w="109"/>
        <w:gridCol w:w="109"/>
        <w:gridCol w:w="267"/>
        <w:gridCol w:w="256"/>
        <w:gridCol w:w="350"/>
      </w:tblGrid>
      <w:tr>
        <w:trPr/>
        <w:tc>
          <w:tcPr>
            <w:tcW w:w="1865"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5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506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506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(123.4)%</w:t>
            </w:r>
          </w:p>
        </w:tc>
      </w:tr>
      <w:tr>
        <w:trPr/>
        <w:tc>
          <w:tcPr>
            <w:tcW w:w="506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83.8%</w:t>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1,273.1%</w:t>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114.3%</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(124.2)%</w:t>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(80.9)%</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(134.7)%</w:t>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914.3%</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 attributable to HF Foods Group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(118.6)%</w:t>
            </w:r>
          </w:p>
        </w:tc>
      </w:tr>
    </w:tbl>
    <w:p>
      <w:pPr>
        <w:pStyle w:val="TextBody"/>
        <w:bidi w:val="0"/>
        <w:spacing w:before="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10205" w:type="dxa"/>
        <w:jc w:val="left"/>
        <w:tblInd w:w="0" w:type="dxa"/>
        <w:tblLayout w:type="fixed"/>
        <w:tblCellMar>
          <w:top w:w="28" w:type="dxa"/>
          <w:left w:w="28" w:type="dxa"/>
          <w:bottom w:w="28" w:type="dxa"/>
          <w:right w:w="28" w:type="dxa"/>
        </w:tblCellMar>
      </w:tblPr>
      <w:tblGrid>
        <w:gridCol w:w="2592"/>
        <w:gridCol w:w="2284"/>
        <w:gridCol w:w="2294"/>
        <w:gridCol w:w="352"/>
        <w:gridCol w:w="264"/>
        <w:gridCol w:w="534"/>
        <w:gridCol w:w="214"/>
        <w:gridCol w:w="214"/>
        <w:gridCol w:w="214"/>
        <w:gridCol w:w="352"/>
        <w:gridCol w:w="264"/>
        <w:gridCol w:w="627"/>
      </w:tblGrid>
      <w:tr>
        <w:trPr/>
        <w:tc>
          <w:tcPr>
            <w:tcW w:w="259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 attributable to HF Foods Group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Net revenue for the three months ended June 30, 2023 decreased by $7.3 million, or 2.4%, compared to the same period in 2022. </w:t>
      </w:r>
      <w:r>
        <w:rPr>
          <w:rFonts w:ascii="Times New Roman;sans-serif" w:hAnsi="Times New Roman;sans-serif"/>
          <w:b w:val="false"/>
          <w:color w:val="000000"/>
          <w:sz w:val="20"/>
        </w:rPr>
        <w:t>This decrease was primarily attributable to a $7.0 million decrease in Meat and Poultry revenue</w:t>
      </w:r>
      <w:r>
        <w:rPr>
          <w:color w:val="000000"/>
          <w:shd w:fill="FFFFFF" w:val="clear"/>
        </w:rPr>
        <w:t xml:space="preserve"> </w:t>
      </w:r>
      <w:r>
        <w:rPr>
          <w:rFonts w:ascii="Times New Roman;sans-serif" w:hAnsi="Times New Roman;sans-serif"/>
          <w:b w:val="false"/>
          <w:color w:val="000000"/>
          <w:sz w:val="20"/>
          <w:shd w:fill="FFFFFF" w:val="clear"/>
        </w:rPr>
        <w:t xml:space="preserve">compared to the same period in 2022 driven by deflationary pricing in poultry.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Gross profit was $50.7 million for </w:t>
      </w:r>
      <w:r>
        <w:rPr>
          <w:rFonts w:ascii="Times New Roman;sans-serif" w:hAnsi="Times New Roman;sans-serif"/>
          <w:b w:val="false"/>
          <w:color w:val="000000"/>
          <w:sz w:val="20"/>
          <w:shd w:fill="FFFFFF" w:val="clear"/>
        </w:rPr>
        <w:t>three months ended June 30, 2023</w:t>
      </w:r>
      <w:r>
        <w:rPr>
          <w:color w:val="000000"/>
        </w:rPr>
        <w:t xml:space="preserve"> </w:t>
      </w:r>
      <w:r>
        <w:rPr>
          <w:rFonts w:ascii="Times New Roman;sans-serif" w:hAnsi="Times New Roman;sans-serif"/>
          <w:b w:val="false"/>
          <w:color w:val="000000"/>
          <w:sz w:val="20"/>
        </w:rPr>
        <w:t xml:space="preserve">compared to $52.6 million in the same period in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a decrease of $1.9 million, or 3.6%. The decrease was primarily attributable to a decrease in Meat and Poultry revenue. Gross profit margin for </w:t>
      </w:r>
      <w:r>
        <w:rPr>
          <w:rFonts w:ascii="Times New Roman;sans-serif" w:hAnsi="Times New Roman;sans-serif"/>
          <w:b w:val="false"/>
          <w:color w:val="000000"/>
          <w:sz w:val="20"/>
          <w:shd w:fill="FFFFFF" w:val="clear"/>
        </w:rPr>
        <w:t>three months ended June 30, 2023</w:t>
      </w:r>
      <w:r>
        <w:rPr>
          <w:color w:val="000000"/>
        </w:rPr>
        <w:t xml:space="preserve"> </w:t>
      </w:r>
      <w:r>
        <w:rPr>
          <w:rFonts w:ascii="Times New Roman;sans-serif" w:hAnsi="Times New Roman;sans-serif"/>
          <w:b w:val="false"/>
          <w:color w:val="000000"/>
          <w:sz w:val="20"/>
        </w:rPr>
        <w:t xml:space="preserve">decreased to 17.3% from 17.5% in the same period in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The decrease was primarily attributable to the deflationary pressure in Meat and Poultry partially offset by improved Seafood margins.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Distribution, selling and administrative expenses increased by $6.4 million, or 14.0%, primarily due to an increase of $1.8 million in payroll and related labor costs and higher professional fees, which increased by $1.3 million, from $6.8 million for the three months ended June 30, 2022 to $8.1 million for the three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In addition, the Company recognized asset impairment of $1.2 million related to our exit of HF Foods Industrial, LLC (“HFFI”). Distribution, selling and administrative expenses as a percentage of net revenue increased to 17.9% for the three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from 15.3% in the same period in 2022, primarily due to higher professional fees and increased headcount.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Interest expense for the three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 xml:space="preserve">increased by $1.3 million, or </w:t>
      </w:r>
      <w:r>
        <w:rPr>
          <w:rFonts w:ascii="Times New Roman;sans-serif" w:hAnsi="Times New Roman;sans-serif"/>
          <w:b w:val="false"/>
          <w:color w:val="000000"/>
          <w:sz w:val="20"/>
          <w:shd w:fill="FFFFFF" w:val="clear"/>
        </w:rPr>
        <w:t>83.8%</w:t>
      </w:r>
      <w:r>
        <w:rPr>
          <w:rFonts w:ascii="Times New Roman;sans-serif" w:hAnsi="Times New Roman;sans-serif"/>
          <w:b w:val="false"/>
          <w:color w:val="000000"/>
          <w:sz w:val="20"/>
        </w:rPr>
        <w:t xml:space="preserve">, compared to the three months ended June 30, 2022, primarily due to a sharply higher interest-rate environment. Average floating interest rates on our floating-rate debt for the three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 xml:space="preserve">increased by approximately 4.3% on our line of credit and 4.3% on the JPMorgan Chase mortgage-secured term loan, compared to the same period in 2022. Our average daily line of credit balance increased by $1.6 million, or </w:t>
      </w:r>
      <w:r>
        <w:rPr>
          <w:rFonts w:ascii="Times New Roman;sans-serif" w:hAnsi="Times New Roman;sans-serif"/>
          <w:b w:val="false"/>
          <w:color w:val="000000"/>
          <w:sz w:val="20"/>
          <w:shd w:fill="FFFFFF" w:val="clear"/>
        </w:rPr>
        <w:t>4.4%</w:t>
      </w:r>
      <w:r>
        <w:rPr>
          <w:rFonts w:ascii="Times New Roman;sans-serif" w:hAnsi="Times New Roman;sans-serif"/>
          <w:b w:val="false"/>
          <w:color w:val="000000"/>
          <w:sz w:val="20"/>
        </w:rPr>
        <w:t xml:space="preserve">, to $37.2 million for the three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 xml:space="preserve">from $35.6 million for the three months ended June 30, 2022, and our average daily JPMorgan Chase mortgage-secured term loan balance decreased by $5.1 million, or </w:t>
      </w:r>
      <w:r>
        <w:rPr>
          <w:rFonts w:ascii="Times New Roman;sans-serif" w:hAnsi="Times New Roman;sans-serif"/>
          <w:b w:val="false"/>
          <w:color w:val="000000"/>
          <w:sz w:val="20"/>
          <w:shd w:fill="FFFFFF" w:val="clear"/>
        </w:rPr>
        <w:t>4.4%</w:t>
      </w:r>
      <w:r>
        <w:rPr>
          <w:rFonts w:ascii="Times New Roman;sans-serif" w:hAnsi="Times New Roman;sans-serif"/>
          <w:b w:val="false"/>
          <w:color w:val="000000"/>
          <w:sz w:val="20"/>
        </w:rPr>
        <w:t xml:space="preserve">, to $109.3 million for the three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from $114.3 million for the three months ended June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$209 thousand for the three months ended June 30, 2023, compared to an income tax expense of $1.1 million for the three months ended June 30, 2022, primarily due to a loss from operations of $1.6 million during the current period compared to income from operations of $6.7 million in the prior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Income Attributable to HF Foods Group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loss attributable to HF Foods Group Inc. was $0.9 million for the three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compared to net income of $4.6 million for the three months ended June 30, 2022. The decrease of $5.4 million, or </w:t>
      </w:r>
      <w:r>
        <w:rPr>
          <w:rFonts w:ascii="Times New Roman;sans-serif" w:hAnsi="Times New Roman;sans-serif"/>
          <w:b w:val="false"/>
          <w:color w:val="000000"/>
          <w:sz w:val="20"/>
          <w:shd w:fill="FFFFFF" w:val="clear"/>
        </w:rPr>
        <w:t>118.6%</w:t>
      </w:r>
      <w:r>
        <w:rPr>
          <w:rFonts w:ascii="Times New Roman;sans-serif" w:hAnsi="Times New Roman;sans-serif"/>
          <w:b w:val="false"/>
          <w:color w:val="000000"/>
          <w:sz w:val="20"/>
        </w:rPr>
        <w:t xml:space="preserve">, is primarily due to the increased distribution, selling, and administrative costs as well as a $1.3 million increase in interest expense, partially offset by the $2.6 million change in the fair value of interest rate swaps.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10177" w:type="dxa"/>
        <w:jc w:val="left"/>
        <w:tblInd w:w="0" w:type="dxa"/>
        <w:tblLayout w:type="fixed"/>
        <w:tblCellMar>
          <w:top w:w="28" w:type="dxa"/>
          <w:left w:w="28" w:type="dxa"/>
          <w:bottom w:w="28" w:type="dxa"/>
          <w:right w:w="28" w:type="dxa"/>
        </w:tblCellMar>
      </w:tblPr>
      <w:tblGrid>
        <w:gridCol w:w="1518"/>
        <w:gridCol w:w="1337"/>
        <w:gridCol w:w="1345"/>
        <w:gridCol w:w="109"/>
        <w:gridCol w:w="109"/>
        <w:gridCol w:w="109"/>
        <w:gridCol w:w="467"/>
        <w:gridCol w:w="344"/>
        <w:gridCol w:w="346"/>
        <w:gridCol w:w="241"/>
        <w:gridCol w:w="241"/>
        <w:gridCol w:w="241"/>
        <w:gridCol w:w="467"/>
        <w:gridCol w:w="337"/>
        <w:gridCol w:w="339"/>
        <w:gridCol w:w="109"/>
        <w:gridCol w:w="109"/>
        <w:gridCol w:w="109"/>
        <w:gridCol w:w="384"/>
        <w:gridCol w:w="343"/>
        <w:gridCol w:w="347"/>
        <w:gridCol w:w="109"/>
        <w:gridCol w:w="109"/>
        <w:gridCol w:w="109"/>
        <w:gridCol w:w="263"/>
        <w:gridCol w:w="263"/>
        <w:gridCol w:w="373"/>
      </w:tblGrid>
      <w:tr>
        <w:trPr/>
        <w:tc>
          <w:tcPr>
            <w:tcW w:w="151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(134.7)%</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83.8%</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(80.9)%</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184.4%</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(50.1)%</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Not Meaningful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was $6.9 million for the three months ended June 30, 2023, a decrease of $7.0 million, or 50.1%, compared to $13.9 million for the three months ended June 30, 2022. The decrease in Adjusted EBITDA was attributable to the lower gross profit and higher distribution, selling and administrative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Six Months Ended June 30, 2023 to Six Months Ended June 30,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sets forth a summary of our consolidated results of operations for the six months ended June 30, 2023</w:t>
      </w:r>
      <w:r>
        <w:rPr>
          <w:color w:val="000000"/>
        </w:rPr>
        <w:t xml:space="preserve"> </w:t>
      </w:r>
      <w:r>
        <w:rPr>
          <w:rFonts w:ascii="Times New Roman;sans-serif" w:hAnsi="Times New Roman;sans-serif"/>
          <w:b w:val="false"/>
          <w:color w:val="000000"/>
          <w:sz w:val="20"/>
        </w:rPr>
        <w:t>and 2022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1831"/>
        <w:gridCol w:w="1591"/>
        <w:gridCol w:w="1549"/>
        <w:gridCol w:w="211"/>
        <w:gridCol w:w="826"/>
        <w:gridCol w:w="109"/>
        <w:gridCol w:w="109"/>
        <w:gridCol w:w="109"/>
        <w:gridCol w:w="109"/>
        <w:gridCol w:w="211"/>
        <w:gridCol w:w="826"/>
        <w:gridCol w:w="109"/>
        <w:gridCol w:w="109"/>
        <w:gridCol w:w="109"/>
        <w:gridCol w:w="109"/>
        <w:gridCol w:w="211"/>
        <w:gridCol w:w="773"/>
        <w:gridCol w:w="109"/>
        <w:gridCol w:w="109"/>
        <w:gridCol w:w="109"/>
        <w:gridCol w:w="109"/>
        <w:gridCol w:w="265"/>
        <w:gridCol w:w="253"/>
        <w:gridCol w:w="350"/>
      </w:tblGrid>
      <w:tr>
        <w:trPr/>
        <w:tc>
          <w:tcPr>
            <w:tcW w:w="183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9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21.9%</w:t>
            </w:r>
          </w:p>
        </w:tc>
      </w:tr>
      <w:tr>
        <w:trPr/>
        <w:tc>
          <w:tcPr>
            <w:tcW w:w="49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(125.4)%</w:t>
            </w:r>
          </w:p>
        </w:tc>
      </w:tr>
      <w:tr>
        <w:trPr/>
        <w:tc>
          <w:tcPr>
            <w:tcW w:w="49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w:t>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(80.6)%</w:t>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(195.3)%</w:t>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(191.6)%</w:t>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(196.4)%</w:t>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1,204.5%</w:t>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 attributable to HF Foods Group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(188.3)%</w:t>
            </w:r>
          </w:p>
        </w:tc>
      </w:tr>
    </w:tbl>
    <w:p>
      <w:pPr>
        <w:pStyle w:val="TextBody"/>
        <w:bidi w:val="0"/>
        <w:spacing w:before="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10076" w:type="dxa"/>
        <w:jc w:val="left"/>
        <w:tblInd w:w="0" w:type="dxa"/>
        <w:tblLayout w:type="fixed"/>
        <w:tblCellMar>
          <w:top w:w="28" w:type="dxa"/>
          <w:left w:w="28" w:type="dxa"/>
          <w:bottom w:w="28" w:type="dxa"/>
          <w:right w:w="28" w:type="dxa"/>
        </w:tblCellMar>
      </w:tblPr>
      <w:tblGrid>
        <w:gridCol w:w="2602"/>
        <w:gridCol w:w="2294"/>
        <w:gridCol w:w="2303"/>
        <w:gridCol w:w="352"/>
        <w:gridCol w:w="264"/>
        <w:gridCol w:w="488"/>
        <w:gridCol w:w="196"/>
        <w:gridCol w:w="196"/>
        <w:gridCol w:w="196"/>
        <w:gridCol w:w="352"/>
        <w:gridCol w:w="264"/>
        <w:gridCol w:w="569"/>
      </w:tblGrid>
      <w:tr>
        <w:trPr/>
        <w:tc>
          <w:tcPr>
            <w:tcW w:w="2602"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and comprehensive (loss) income attributable to HF Foods Group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Net revenue for the six months ended June 30, 2023 increased by $8.3 million, or 1.4%, compared to the same period in 2022. </w:t>
      </w:r>
      <w:r>
        <w:rPr>
          <w:rFonts w:ascii="Times New Roman;sans-serif" w:hAnsi="Times New Roman;sans-serif"/>
          <w:b w:val="false"/>
          <w:color w:val="000000"/>
          <w:sz w:val="20"/>
        </w:rPr>
        <w:t>This increase was attributable to the additional Seafood revenue generated due to the Sealand Food, Inc. acquisition (the “Sealand Acquisition”) and product cost inflation, partially offset by a $16.0 million decrease in Meat and Poultry revenue</w:t>
      </w:r>
      <w:r>
        <w:rPr>
          <w:color w:val="000000"/>
          <w:shd w:fill="FFFFFF" w:val="clear"/>
        </w:rPr>
        <w:t xml:space="preserve"> </w:t>
      </w:r>
      <w:r>
        <w:rPr>
          <w:rFonts w:ascii="Times New Roman;sans-serif" w:hAnsi="Times New Roman;sans-serif"/>
          <w:b w:val="false"/>
          <w:color w:val="000000"/>
          <w:sz w:val="20"/>
          <w:shd w:fill="FFFFFF" w:val="clear"/>
        </w:rPr>
        <w:t>compared to the same period in 2022 driven by deflationary pricing in poultry.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Gross profit was $100.8 million for the </w:t>
      </w:r>
      <w:r>
        <w:rPr>
          <w:rFonts w:ascii="Times New Roman;sans-serif" w:hAnsi="Times New Roman;sans-serif"/>
          <w:b w:val="false"/>
          <w:color w:val="000000"/>
          <w:sz w:val="20"/>
          <w:shd w:fill="FFFFFF" w:val="clear"/>
        </w:rPr>
        <w:t>six months ended June 30, 2023</w:t>
      </w:r>
      <w:r>
        <w:rPr>
          <w:color w:val="000000"/>
        </w:rPr>
        <w:t xml:space="preserve"> </w:t>
      </w:r>
      <w:r>
        <w:rPr>
          <w:rFonts w:ascii="Times New Roman;sans-serif" w:hAnsi="Times New Roman;sans-serif"/>
          <w:b w:val="false"/>
          <w:color w:val="000000"/>
          <w:sz w:val="20"/>
        </w:rPr>
        <w:t xml:space="preserve">compared to $103.3 million in the same period in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a decrease of $2.5 million, or </w:t>
      </w:r>
      <w:r>
        <w:rPr>
          <w:rFonts w:ascii="Times New Roman;sans-serif" w:hAnsi="Times New Roman;sans-serif"/>
          <w:b w:val="false"/>
          <w:color w:val="000000"/>
          <w:sz w:val="20"/>
          <w:shd w:fill="FFFFFF" w:val="clear"/>
        </w:rPr>
        <w:t>2.4%</w:t>
      </w:r>
      <w:r>
        <w:rPr>
          <w:rFonts w:ascii="Times New Roman;sans-serif" w:hAnsi="Times New Roman;sans-serif"/>
          <w:b w:val="false"/>
          <w:color w:val="000000"/>
          <w:sz w:val="20"/>
        </w:rPr>
        <w:t xml:space="preserve">. The decrease was primarily attributable to a decrease in Meat and Poultry revenue, partially offset by the additional Seafood revenue generated due to the Sealand Acquisition. Gross profit margin for the </w:t>
      </w:r>
      <w:r>
        <w:rPr>
          <w:rFonts w:ascii="Times New Roman;sans-serif" w:hAnsi="Times New Roman;sans-serif"/>
          <w:b w:val="false"/>
          <w:color w:val="000000"/>
          <w:sz w:val="20"/>
          <w:shd w:fill="FFFFFF" w:val="clear"/>
        </w:rPr>
        <w:t>six months ended June 30, 2023</w:t>
      </w:r>
      <w:r>
        <w:rPr>
          <w:color w:val="000000"/>
        </w:rPr>
        <w:t xml:space="preserve"> </w:t>
      </w:r>
      <w:r>
        <w:rPr>
          <w:rFonts w:ascii="Times New Roman;sans-serif" w:hAnsi="Times New Roman;sans-serif"/>
          <w:b w:val="false"/>
          <w:color w:val="000000"/>
          <w:sz w:val="20"/>
        </w:rPr>
        <w:t xml:space="preserve">decreased to 17.2% from 17.9% for the same period in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The decrease was primarily attributable to the shift in product mix to higher Seafood sales and the deflationary pressure in Meat and Poultry.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Distribution, selling and administrative expenses increased by $18.9 million, or 21.9%, primarily due to an increase of $4.6 million in payroll and related labor costs, inclusive of the additional costs due to the Sealand Acquisition. Professional fees increased $5.5 million to $15.2 million for the six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from $9.7 million for the six months ended June 30, 2022. In addition, the Company recognized asset impairment of $1.2 million related to our exit of HFFI. Distribution, selling and administrative expenses as a percentage of net revenue increased to 17.9% for the six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from 14.9% in the same period in 2022, primarily due to higher professional fees and increased headcount.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Interest expense for the six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 xml:space="preserve">increased by $2.9 million or </w:t>
      </w:r>
      <w:r>
        <w:rPr>
          <w:rFonts w:ascii="Times New Roman;sans-serif" w:hAnsi="Times New Roman;sans-serif"/>
          <w:b w:val="false"/>
          <w:color w:val="000000"/>
          <w:sz w:val="20"/>
          <w:shd w:fill="FFFFFF" w:val="clear"/>
        </w:rPr>
        <w:t>102.2%</w:t>
      </w:r>
      <w:r>
        <w:rPr>
          <w:rFonts w:ascii="Times New Roman;sans-serif" w:hAnsi="Times New Roman;sans-serif"/>
          <w:b w:val="false"/>
          <w:color w:val="000000"/>
          <w:sz w:val="20"/>
        </w:rPr>
        <w:t xml:space="preserve">, compared to the six months ended June 30, 2022, primarily due to a sharply higher interest-rate environment. Average floating interest rates on our floating-rate debt for the six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 xml:space="preserve">increased by approximately 4.4% on the line of credit and 4.4% on the JPMorgan Chase mortgage-secured term loan, compared to the same period in 2022. Our average daily line of credit balance decreased by $8.9 million, or 18.2%, to $39.9 million for the six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 xml:space="preserve">from $48.8 million for the six months ended June 30, 2022, and our average daily JPMorgan Chase mortgage-secured term loan balance increased by $18.1 million, or 19.7%, to $109.9 million for the six months ended </w:t>
      </w:r>
      <w:r>
        <w:rPr>
          <w:rFonts w:ascii="Times New Roman;sans-serif" w:hAnsi="Times New Roman;sans-serif"/>
          <w:b w:val="false"/>
          <w:color w:val="000000"/>
          <w:sz w:val="20"/>
          <w:shd w:fill="FFFFFF" w:val="clear"/>
        </w:rPr>
        <w:t>June 30, 2023</w:t>
      </w:r>
      <w:r>
        <w:rPr>
          <w:color w:val="000000"/>
        </w:rPr>
        <w:t xml:space="preserve"> </w:t>
      </w:r>
      <w:r>
        <w:rPr>
          <w:rFonts w:ascii="Times New Roman;sans-serif" w:hAnsi="Times New Roman;sans-serif"/>
          <w:b w:val="false"/>
          <w:color w:val="000000"/>
          <w:sz w:val="20"/>
        </w:rPr>
        <w:t>from $91.8 million for the six months ended June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of $2.0 million for the six months ended June 30, 2023, compared to income tax expense of $2.2 million for the six months ended June 30, 2022, primarily due to losses from operations during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Income Attributable to HF Foods Group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loss attributable to HF Foods Group Inc. was $6.8 million for the six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compared to net income of $7.7 million for the six months ended June 30, 2022. The decrease of $14.5 million, or </w:t>
      </w:r>
      <w:r>
        <w:rPr>
          <w:rFonts w:ascii="Times New Roman;sans-serif" w:hAnsi="Times New Roman;sans-serif"/>
          <w:b w:val="false"/>
          <w:color w:val="000000"/>
          <w:sz w:val="20"/>
          <w:shd w:fill="FFFFFF" w:val="clear"/>
        </w:rPr>
        <w:t>188.3%</w:t>
      </w:r>
      <w:r>
        <w:rPr>
          <w:rFonts w:ascii="Times New Roman;sans-serif" w:hAnsi="Times New Roman;sans-serif"/>
          <w:b w:val="false"/>
          <w:color w:val="000000"/>
          <w:sz w:val="20"/>
        </w:rPr>
        <w:t xml:space="preserve">, is primarily due to the increased distribution, selling, and administrative costs as well as a $2.9 million increase in 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10130" w:type="dxa"/>
        <w:jc w:val="left"/>
        <w:tblInd w:w="0" w:type="dxa"/>
        <w:tblLayout w:type="fixed"/>
        <w:tblCellMar>
          <w:top w:w="28" w:type="dxa"/>
          <w:left w:w="28" w:type="dxa"/>
          <w:bottom w:w="28" w:type="dxa"/>
          <w:right w:w="28" w:type="dxa"/>
        </w:tblCellMar>
      </w:tblPr>
      <w:tblGrid>
        <w:gridCol w:w="1518"/>
        <w:gridCol w:w="1337"/>
        <w:gridCol w:w="1345"/>
        <w:gridCol w:w="109"/>
        <w:gridCol w:w="109"/>
        <w:gridCol w:w="109"/>
        <w:gridCol w:w="424"/>
        <w:gridCol w:w="344"/>
        <w:gridCol w:w="346"/>
        <w:gridCol w:w="219"/>
        <w:gridCol w:w="219"/>
        <w:gridCol w:w="219"/>
        <w:gridCol w:w="424"/>
        <w:gridCol w:w="337"/>
        <w:gridCol w:w="339"/>
        <w:gridCol w:w="109"/>
        <w:gridCol w:w="109"/>
        <w:gridCol w:w="109"/>
        <w:gridCol w:w="384"/>
        <w:gridCol w:w="396"/>
        <w:gridCol w:w="399"/>
        <w:gridCol w:w="109"/>
        <w:gridCol w:w="109"/>
        <w:gridCol w:w="109"/>
        <w:gridCol w:w="263"/>
        <w:gridCol w:w="263"/>
        <w:gridCol w:w="373"/>
      </w:tblGrid>
      <w:tr>
        <w:trPr/>
        <w:tc>
          <w:tcPr>
            <w:tcW w:w="151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(196.4)%</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(191.6)%</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261.6%</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184.4%</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12,198</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(61.7)%</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Not Meaningful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was $12.2 million for the six months ended June 30, 2023, a decrease of $19.6 million or 61.7%, compared to $31.8 million for the three months ended June 30, 2022. The decrease in Adjusted EBITDA was attributable to the lower gross profit and higher distribution, selling and administrative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cash of approximately $14.9 million, checks issued not presented for payment of $20.9 million and access to approximately $57.8 million in additional funds through our $100.0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June 30,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amortizing IRS contract with J.P. Morgan Chase Bank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Effective as of April 20, 2023, we and certain parties to the Delaware Action reached an agreement to settle the Delaware Action on the terms and conditions set forth in a binding term sheet (the “Binding Term Sheet”), which was incorporated into a long-form settlement agreement on May 5, 2023 and filed with the Court of Chancery on May 8, 2023. The Binding Term Sheet provided for, among other things, the dismissal of the Delaware Action with prejudice in exchange for Zhou Min Ni, a former Chairman and Chief Executive Officer of the Company, and Chan Sin Wong, a former President and Chief Operating Officer of the Company, making a payment to the Company in the sum of $9.25 million. The full terms of the settlement of the Delaware Action were incorporated into the long-form settlement agreement, which is subject to approval of the Court of Chancery. Please refer to </w:t>
      </w:r>
      <w:r>
        <w:rPr>
          <w:rFonts w:ascii="Times New Roman;sans-serif" w:hAnsi="Times New Roman;sans-serif"/>
          <w:b w:val="false"/>
          <w:i/>
          <w:color w:val="000000"/>
          <w:sz w:val="20"/>
        </w:rPr>
        <w:t xml:space="preserve">Note 14 - Commitments and Contingencies </w:t>
      </w:r>
      <w:r>
        <w:rPr>
          <w:rFonts w:ascii="Times New Roman;sans-serif" w:hAnsi="Times New Roman;sans-serif"/>
          <w:b w:val="false"/>
          <w:color w:val="000000"/>
          <w:sz w:val="20"/>
        </w:rPr>
        <w:t>to the condensed consolidated financial statements in this Quarterly Report on Form 10-Q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resources is insufficient to fund our liquidity needs, we may have to resort to reducing or delaying our expected acquisition plans, liquidating assets, obtaining additional debt or equity capital, or refinancing all or a portion of our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have no off balance sheet arrangements that currently have or are reasonably likely to have a material effect on our consolidated financial position, changes in financial condition, results of operations, liquidity, capital expenditures or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summarizes cash flow data for the six months ended June 30, 2023</w:t>
      </w:r>
      <w:r>
        <w:rPr>
          <w:color w:val="000000"/>
        </w:rPr>
        <w:t xml:space="preserve"> </w:t>
      </w:r>
      <w:r>
        <w:rPr>
          <w:rFonts w:ascii="Times New Roman;sans-serif" w:hAnsi="Times New Roman;sans-serif"/>
          <w:b w:val="false"/>
          <w:color w:val="000000"/>
          <w:sz w:val="20"/>
        </w:rPr>
        <w:t>and 2022:</w:t>
      </w:r>
    </w:p>
    <w:tbl>
      <w:tblPr>
        <w:tblW w:w="9372" w:type="dxa"/>
        <w:jc w:val="left"/>
        <w:tblInd w:w="0" w:type="dxa"/>
        <w:tblLayout w:type="fixed"/>
        <w:tblCellMar>
          <w:top w:w="28" w:type="dxa"/>
          <w:left w:w="28" w:type="dxa"/>
          <w:bottom w:w="28" w:type="dxa"/>
          <w:right w:w="28" w:type="dxa"/>
        </w:tblCellMar>
      </w:tblPr>
      <w:tblGrid>
        <w:gridCol w:w="1563"/>
        <w:gridCol w:w="1374"/>
        <w:gridCol w:w="1382"/>
        <w:gridCol w:w="211"/>
        <w:gridCol w:w="693"/>
        <w:gridCol w:w="109"/>
        <w:gridCol w:w="109"/>
        <w:gridCol w:w="109"/>
        <w:gridCol w:w="109"/>
        <w:gridCol w:w="211"/>
        <w:gridCol w:w="723"/>
        <w:gridCol w:w="109"/>
        <w:gridCol w:w="109"/>
        <w:gridCol w:w="109"/>
        <w:gridCol w:w="109"/>
        <w:gridCol w:w="211"/>
        <w:gridCol w:w="796"/>
        <w:gridCol w:w="109"/>
        <w:gridCol w:w="109"/>
        <w:gridCol w:w="109"/>
        <w:gridCol w:w="109"/>
        <w:gridCol w:w="263"/>
        <w:gridCol w:w="263"/>
        <w:gridCol w:w="37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(96.9)%</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(142.4)%</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consists primarily of net income adjusted for non-cash items, including depreciation and amortization, changes in deferred income taxes and others, and includes the effect of working capital changes. Net cash provided by operating activities decreased by $4.9 million, or 36%, primarily due to the net loss for the six months ended June 30, 2023 as well as the timing of working capital outlays.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$47.1 million, or 97%, primarily due to acquisitions in the six months ended June 30,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decreased by $55.6 million, or 142%, to $16.6 million used in financing activities primarily due to proceeds from long-term debt of $46.0 million for the six months ended June 30, 2022, as well as the net impact of our line of credit from net proceeds of $4.9 million for the six months ended June 30, 2022 to a net repayment of $10.9 million for the six months ended June 30,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2022 Annual Report on Form 10-K includes a summary of the critical accounting policies we believe are the most important to aid in understanding our financial results. There have been no changes to those critical accounting policies that have had a material impact on our reported amounts of assets, liabilities, revenue, or expenses during the three months and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a discussion of recent accounting pronouncements, see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condensed consolidated financial statements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three interest rate swap contracts to hedge the floating rate term loans. See </w:t>
      </w:r>
      <w:r>
        <w:rPr>
          <w:rFonts w:ascii="Times New Roman;sans-serif" w:hAnsi="Times New Roman;sans-serif"/>
          <w:b w:val="false"/>
          <w:i/>
          <w:color w:val="000000"/>
          <w:sz w:val="20"/>
        </w:rPr>
        <w:t xml:space="preserve">Note 8 - Derivative Financial Instruments </w:t>
      </w:r>
      <w:r>
        <w:rPr>
          <w:rFonts w:ascii="Times New Roman;sans-serif" w:hAnsi="Times New Roman;sans-serif"/>
          <w:b w:val="false"/>
          <w:color w:val="000000"/>
          <w:sz w:val="20"/>
        </w:rPr>
        <w:t>to the condensed consolidated financial statements in this Quarterly Report on Form 10-Q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June 30, 2023, our aggregate floating rate debt’s outstanding principal balance without hedging was $42.2 million, or 26.2% of total debt, consisting of our revolving line of credit (see </w:t>
      </w:r>
      <w:r>
        <w:rPr>
          <w:rFonts w:ascii="Times New Roman;sans-serif" w:hAnsi="Times New Roman;sans-serif"/>
          <w:b w:val="false"/>
          <w:i/>
          <w:color w:val="000000"/>
          <w:sz w:val="20"/>
        </w:rPr>
        <w:t>Note 9 - Debt</w:t>
      </w:r>
      <w:r>
        <w:rPr>
          <w:color w:val="000000"/>
        </w:rPr>
        <w:t xml:space="preserve"> </w:t>
      </w:r>
      <w:r>
        <w:rPr>
          <w:rFonts w:ascii="Times New Roman;sans-serif" w:hAnsi="Times New Roman;sans-serif"/>
          <w:b w:val="false"/>
          <w:color w:val="000000"/>
          <w:sz w:val="20"/>
        </w:rPr>
        <w:t>to the condensed consolidated financial statements in this Quarterly Report on Form 10-Q). Our floating rate debt interest is based on the floating 1-month SOFR plus a predetermined credit adjustment rate plus the bank spread. The remaining 73.8% of our debt is on a fixed rate or a floating rate with hedging. In a hypothetical scenario, a 1% change in the applicable rate would cause the interest expense on our floating rate debt to change by approximately $0.4 million per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We currently are able to obtain adequate supplies of diesel fuel, and average prices in the second quarter of 2023 decreased in comparison to average prices in the same period of 2022, decreasing 28.7%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actively hedge the price fluctuation of diesel fuel in general. Instead, we seek to minimize fuel cost risk through delivery route optimization and fleet utilization improvement.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2022, we identified five material weaknesses as were reported previously, which continue to exist as of June 30, 2023. We did not properly design or maintain effective controls over the control environment, risk assessment, control activities, information and communication components and monitoring of the Committee of Sponsoring Organizations of the Treadway Commission in 2013.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our principal executive officer and principal financial and accounting officer have concluded that as a result of the material weaknesses and control deficiencies as reported in our Annual Report on Form 10-K for the year ended December 31, 2022, our disclosure controls and procedures were not effective as of June 30, 2023. Notwithstanding the weaknesses, our management has concluded that the financial statements included elsewhere in this report present fairly, and in all material respects, our financial position, results of operation and cash flow in conformity with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address and resolve the foregoing material weaknesses, we have begun to implement measures designed to improve our internal control over financial reporting to remediate these material weaknesses, including continuously hiring additional financial personnel with requisite training and experience in the preparation of financial statements in compliance with applicable SEC requirements, formalizing our processes to generate documentation sufficient to support customer orders and purchase orders, and implementing controls to obtain documentation evidencing customer agreements to transaction amounts and account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measures we are implementing are subject to continued management review supported by confirmation and testing, as well as audit committee oversight. Management remains committed to ongoing efforts to address these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identified and described above will continue to exist.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efforts described above, there have been no changes in our internal controls over financial reporting for the quarter ended June 30, 2023, that have materially affected, or are reasonably likely to materially affect, our internal controls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both"/>
        <w:rPr/>
      </w:pPr>
      <w:r>
        <w:rPr>
          <w:rFonts w:ascii="Times New Roman;sans-serif" w:hAnsi="Times New Roman;sans-serif"/>
          <w:b w:val="false"/>
          <w:color w:val="000000"/>
          <w:sz w:val="20"/>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Times New Roman;sans-serif" w:hAnsi="Times New Roman;sans-serif"/>
          <w:b w:val="false"/>
          <w:i/>
          <w:color w:val="000000"/>
          <w:sz w:val="20"/>
        </w:rPr>
        <w:t>Note 14 - Commitments and Contingencies</w:t>
      </w:r>
      <w:r>
        <w:rPr>
          <w:color w:val="000000"/>
        </w:rPr>
        <w:t xml:space="preserve"> </w:t>
      </w:r>
      <w:r>
        <w:rPr>
          <w:rFonts w:ascii="Times New Roman;sans-serif" w:hAnsi="Times New Roman;sans-serif"/>
          <w:b w:val="false"/>
          <w:color w:val="000000"/>
          <w:sz w:val="20"/>
        </w:rPr>
        <w:t>to our condensed consolidated 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from the risk factors disclosed in Item 1A of our Annual Report on Form 10-K for the year ended December 31, 2022 and Quarterly Report on Form 10-Q for the quarter ended March 31, 2023.</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from Registered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none of our officers or directors adopted or terminated a "Rule 10b5-1 trading arrangement" or "non-Rule 10b5-1 trading arrangement," as each term is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incorporated herein by reference or are filed or furnished with this report as indicated below:</w:t>
      </w:r>
    </w:p>
    <w:tbl>
      <w:tblPr>
        <w:tblW w:w="10205" w:type="dxa"/>
        <w:jc w:val="left"/>
        <w:tblInd w:w="0" w:type="dxa"/>
        <w:tblLayout w:type="fixed"/>
        <w:tblCellMar>
          <w:top w:w="28" w:type="dxa"/>
          <w:left w:w="28" w:type="dxa"/>
          <w:bottom w:w="28" w:type="dxa"/>
          <w:right w:w="28" w:type="dxa"/>
        </w:tblCellMar>
      </w:tblPr>
      <w:tblGrid>
        <w:gridCol w:w="382"/>
        <w:gridCol w:w="335"/>
        <w:gridCol w:w="337"/>
        <w:gridCol w:w="109"/>
        <w:gridCol w:w="109"/>
        <w:gridCol w:w="109"/>
        <w:gridCol w:w="1930"/>
        <w:gridCol w:w="1825"/>
        <w:gridCol w:w="1843"/>
        <w:gridCol w:w="109"/>
        <w:gridCol w:w="109"/>
        <w:gridCol w:w="109"/>
        <w:gridCol w:w="195"/>
        <w:gridCol w:w="195"/>
        <w:gridCol w:w="196"/>
        <w:gridCol w:w="126"/>
        <w:gridCol w:w="126"/>
        <w:gridCol w:w="126"/>
        <w:gridCol w:w="245"/>
        <w:gridCol w:w="245"/>
        <w:gridCol w:w="246"/>
        <w:gridCol w:w="126"/>
        <w:gridCol w:w="126"/>
        <w:gridCol w:w="126"/>
        <w:gridCol w:w="239"/>
        <w:gridCol w:w="239"/>
        <w:gridCol w:w="343"/>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8/11/2017</w:t>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8/27/2018</w:t>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11/4/2022</w:t>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First Amendment to Amended and Restated Bylaws, dated April 25,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4/26/2023</w:t>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Certificate of Designation of Rights, Preferences and Privileges of Series A Participating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4/11/2023</w:t>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7/28/2017</w:t>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Form of Unit Purchase Option between the Registrant and Chardan Capital Markets,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7/28/2017</w:t>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2q-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2q-ex311.htm">
              <w:r>
                <w:rPr>
                  <w:rStyle w:val="InternetLink"/>
                  <w:rFonts w:ascii="Times New Roman;sans-serif" w:hAnsi="Times New Roman;sans-serif"/>
                  <w:b w:val="false"/>
                  <w:color w:val="0000FF"/>
                  <w:sz w:val="20"/>
                  <w:u w:val="single"/>
                </w:rPr>
                <w:t>Certification of Chief Executive Officer pursuant to Rule 13a-14 and Rule 15d-14(a), promulgated under the Securities and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2q-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2q-ex312.htm">
              <w:r>
                <w:rPr>
                  <w:rStyle w:val="InternetLink"/>
                  <w:rFonts w:ascii="Times New Roman;sans-serif" w:hAnsi="Times New Roman;sans-serif"/>
                  <w:b w:val="false"/>
                  <w:color w:val="0000FF"/>
                  <w:sz w:val="20"/>
                  <w:u w:val="single"/>
                </w:rPr>
                <w:t>Certification of Chief Financial Officer pursuant to Rule 13a-14 and Rule 15d-14(a), promulgated under the Securities and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2q-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2q-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2q-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2q-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10" w:type="dxa"/>
        <w:jc w:val="left"/>
        <w:tblInd w:w="0" w:type="dxa"/>
        <w:tblLayout w:type="fixed"/>
        <w:tblCellMar>
          <w:top w:w="28" w:type="dxa"/>
          <w:left w:w="28" w:type="dxa"/>
          <w:bottom w:w="28" w:type="dxa"/>
          <w:right w:w="28" w:type="dxa"/>
        </w:tblCellMar>
      </w:tblPr>
      <w:tblGrid>
        <w:gridCol w:w="124"/>
        <w:gridCol w:w="109"/>
        <w:gridCol w:w="109"/>
        <w:gridCol w:w="848"/>
        <w:gridCol w:w="848"/>
        <w:gridCol w:w="848"/>
        <w:gridCol w:w="848"/>
        <w:gridCol w:w="848"/>
        <w:gridCol w:w="87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Furnished herewith.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Indicates a management contract or compensatory plan or arrangement.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489" w:type="dxa"/>
        <w:jc w:val="left"/>
        <w:tblInd w:w="0" w:type="dxa"/>
        <w:tblLayout w:type="fixed"/>
        <w:tblCellMar>
          <w:top w:w="28" w:type="dxa"/>
          <w:left w:w="28" w:type="dxa"/>
          <w:bottom w:w="28" w:type="dxa"/>
          <w:right w:w="28" w:type="dxa"/>
        </w:tblCellMar>
      </w:tblPr>
      <w:tblGrid>
        <w:gridCol w:w="667"/>
        <w:gridCol w:w="587"/>
        <w:gridCol w:w="590"/>
        <w:gridCol w:w="1065"/>
        <w:gridCol w:w="1065"/>
        <w:gridCol w:w="151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Xiao Mou Zhang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b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Carlos Rodriguez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br/>
              <w:t>Chief Financial Officer</w:t>
              <w:br/>
              <w:t>(Principal accounting and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Xiao Mou Zhang,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1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606"/>
        <w:gridCol w:w="606"/>
        <w:gridCol w:w="85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Xiao Mou Zhang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Carlos Rodriguez,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5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588"/>
        <w:gridCol w:w="588"/>
        <w:gridCol w:w="8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Carlos Rodriguez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Executive Officer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HF Foods Group Inc. (the “Company”) for the quarterly period ended June 30, 2023 as filed with the Securities and Exchange Commission on the date hereof (the “Report”), I, Xiao Mou Zhang, Chief Executive Officer of the Company,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31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606"/>
        <w:gridCol w:w="606"/>
        <w:gridCol w:w="85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Xiao Mou Zhang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Financial Officer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HF Foods Group Inc. (the “Company”) for the quarterly period ended June 30, 2023 as filed with the Securities and Exchange Commission on the date hereof (the “Report”), I, Carlos Rodriguez, Chief Financial Officer of the Company,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25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588"/>
        <w:gridCol w:w="588"/>
        <w:gridCol w:w="8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Carlos Rodriguez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Rodriguez</w:t>
              <w:b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80873/000143774919021487/ex_162902.htm" TargetMode="External"/><Relationship Id="rId3" Type="http://schemas.openxmlformats.org/officeDocument/2006/relationships/hyperlink" Target="http://www.sec.gov/Archives/edgar/data/1680873/000143774919021487/ex_162902.htm" TargetMode="External"/><Relationship Id="rId4" Type="http://schemas.openxmlformats.org/officeDocument/2006/relationships/hyperlink" Target="https://www.sec.gov/Archives/edgar/data/1680873/000161577418008665/s112256ex3_1-2.htm" TargetMode="External"/><Relationship Id="rId5" Type="http://schemas.openxmlformats.org/officeDocument/2006/relationships/hyperlink" Target="https://www.sec.gov/Archives/edgar/data/1680873/000161577418008665/s112256ex3_1-2.htm" TargetMode="External"/><Relationship Id="rId6" Type="http://schemas.openxmlformats.org/officeDocument/2006/relationships/hyperlink" Target="http://www.sec.gov/Archives/edgar/data/1680873/000168087322000056/ex302-arbylawsxnovember2022.htm" TargetMode="External"/><Relationship Id="rId7" Type="http://schemas.openxmlformats.org/officeDocument/2006/relationships/hyperlink" Target="http://www.sec.gov/Archives/edgar/data/1680873/000168087322000056/ex302-arbylawsxnovember2022.htm" TargetMode="External"/><Relationship Id="rId8" Type="http://schemas.openxmlformats.org/officeDocument/2006/relationships/hyperlink" Target="https://www.sec.gov/Archives/edgar/data/1680873/000168087323000016/exhibit31-bylawamendment.htm" TargetMode="External"/><Relationship Id="rId9" Type="http://schemas.openxmlformats.org/officeDocument/2006/relationships/hyperlink" Target="https://www.sec.gov/Archives/edgar/data/1680873/000168087323000016/exhibit31-bylawamendment.htm" TargetMode="External"/><Relationship Id="rId10" Type="http://schemas.openxmlformats.org/officeDocument/2006/relationships/hyperlink" Target="https://www.sec.gov/Archives/edgar/data/1680873/000119312523098200/d425223dex31.htm" TargetMode="External"/><Relationship Id="rId11" Type="http://schemas.openxmlformats.org/officeDocument/2006/relationships/hyperlink" Target="https://www.sec.gov/Archives/edgar/data/1680873/000119312523098200/d425223dex31.htm" TargetMode="External"/><Relationship Id="rId12" Type="http://schemas.openxmlformats.org/officeDocument/2006/relationships/hyperlink" Target="https://www.sec.gov/Archives/edgar/data/1680873/000161577417003872/s106920_ex4-2.htm" TargetMode="External"/><Relationship Id="rId13" Type="http://schemas.openxmlformats.org/officeDocument/2006/relationships/hyperlink" Target="https://www.sec.gov/Archives/edgar/data/1680873/000161577417003872/s106920_ex4-2.htm" TargetMode="External"/><Relationship Id="rId14" Type="http://schemas.openxmlformats.org/officeDocument/2006/relationships/hyperlink" Target="https://www.sec.gov/Archives/edgar/data/1680873/000161577417003872/s106920_ex4-5.htm" TargetMode="External"/><Relationship Id="rId15" Type="http://schemas.openxmlformats.org/officeDocument/2006/relationships/hyperlink" Target="https://www.sec.gov/Archives/edgar/data/1680873/000161577417003872/s106920_ex4-5.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17712</Words>
  <Characters>96726</Characters>
  <CharactersWithSpaces>112821</CharactersWithSpaces>
  <Paragraphs>2601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