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w:t>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(Mark one)</w:t>
      </w:r>
    </w:p>
    <w:p>
      <w:pPr>
        <w:spacing w:after="0" w:line="201" w:lineRule="exact"/>
        <w:rPr>
          <w:sz w:val="24"/>
          <w:szCs w:val="24"/>
          <w:color w:val="auto"/>
        </w:rPr>
      </w:pPr>
    </w:p>
    <w:p>
      <w:pPr>
        <w:jc w:val="center"/>
        <w:ind w:left="3880" w:right="940" w:hanging="2955"/>
        <w:spacing w:after="0" w:line="432" w:lineRule="auto"/>
        <w:tabs>
          <w:tab w:leader="none" w:pos="11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37" w:lineRule="exact"/>
        <w:rPr>
          <w:rFonts w:ascii="MS PGothic" w:cs="MS PGothic" w:eastAsia="MS PGothic" w:hAnsi="MS PGothic"/>
          <w:sz w:val="18"/>
          <w:szCs w:val="18"/>
          <w:color w:val="auto"/>
        </w:rPr>
      </w:pPr>
    </w:p>
    <w:p>
      <w:pPr>
        <w:ind w:left="1140" w:hanging="199"/>
        <w:spacing w:after="0"/>
        <w:tabs>
          <w:tab w:leader="none" w:pos="11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1" w:lineRule="exact"/>
        <w:rPr>
          <w:rFonts w:ascii="MS PGothic" w:cs="MS PGothic" w:eastAsia="MS PGothic" w:hAnsi="MS PGothic"/>
          <w:sz w:val="18"/>
          <w:szCs w:val="18"/>
          <w:color w:val="auto"/>
        </w:rPr>
      </w:pPr>
    </w:p>
    <w:p>
      <w:pPr>
        <w:ind w:left="31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the transition period from </w:t>
      </w:r>
      <w:r>
        <w:rPr>
          <w:rFonts w:ascii="Times New Roman" w:cs="Times New Roman" w:eastAsia="Times New Roman" w:hAnsi="Times New Roman"/>
          <w:sz w:val="10"/>
          <w:szCs w:val="10"/>
          <w:color w:val="auto"/>
        </w:rPr>
        <w:t>_______________________</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0"/>
          <w:szCs w:val="10"/>
          <w:color w:val="auto"/>
        </w:rPr>
        <w:t>_______________________</w:t>
      </w:r>
      <w:r>
        <w:rPr>
          <w:rFonts w:ascii="Times New Roman" w:cs="Times New Roman" w:eastAsia="Times New Roman" w:hAnsi="Times New Roman"/>
          <w:sz w:val="18"/>
          <w:szCs w:val="18"/>
          <w:color w:val="auto"/>
        </w:rPr>
        <w:t>.</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001-38180</w:t>
      </w:r>
    </w:p>
    <w:p>
      <w:pPr>
        <w:spacing w:after="0" w:line="15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w:t>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HF FOODS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81-2717873</w:t>
            </w:r>
          </w:p>
        </w:tc>
      </w:tr>
      <w:tr>
        <w:trPr>
          <w:trHeight w:val="243"/>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6325 South Rainbow Boulevard, Suite 420, Las Vegas, NV 89118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062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(888) 905-0988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HFFG</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23"/>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Preferred Share Purchase Rights</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90"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right="206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8, 2025, the registrant had 55,012,128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June 30,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9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94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183"/>
        </w:trPr>
        <w:tc>
          <w:tcPr>
            <w:tcW w:w="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99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 (Unaudited)</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Changes in Shareholders’ Equity (Unaudited)</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Controls and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r>
      <w:tr>
        <w:trPr>
          <w:trHeight w:val="162"/>
        </w:trPr>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Legal Proceedings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Risk Factors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Mine Safety Disclosures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Exhibits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1084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20" w:type="dxa"/>
            <w:vAlign w:val="bottom"/>
            <w:shd w:val="clear" w:color="auto" w:fill="CCEEFF"/>
          </w:tcPr>
          <w:p>
            <w:pPr>
              <w:spacing w:after="0"/>
              <w:rPr>
                <w:sz w:val="19"/>
                <w:szCs w:val="19"/>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SIGNATURE PAGE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9"/>
                <w:szCs w:val="19"/>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9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74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76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jc w:val="center"/>
              <w:ind w:left="3658"/>
              <w:spacing w:after="0"/>
              <w:rPr>
                <w:sz w:val="20"/>
                <w:szCs w:val="20"/>
                <w:color w:val="auto"/>
              </w:rPr>
            </w:pPr>
            <w:r>
              <w:rPr>
                <w:rFonts w:ascii="Times New Roman" w:cs="Times New Roman" w:eastAsia="Times New Roman" w:hAnsi="Times New Roman"/>
                <w:sz w:val="18"/>
                <w:szCs w:val="18"/>
                <w:b w:val="1"/>
                <w:bCs w:val="1"/>
                <w:color w:val="auto"/>
                <w:w w:val="99"/>
              </w:rPr>
              <w:t>HF Foods Group Inc. and Subsidiaries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jc w:val="center"/>
              <w:ind w:left="3678"/>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jc w:val="center"/>
              <w:ind w:left="3678"/>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2760" w:type="dxa"/>
            <w:vAlign w:val="bottom"/>
            <w:gridSpan w:val="2"/>
          </w:tcPr>
          <w:p>
            <w:pPr>
              <w:jc w:val="center"/>
              <w:ind w:right="919"/>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Pr>
          <w:p>
            <w:pPr>
              <w:spacing w:after="0"/>
              <w:rPr>
                <w:sz w:val="20"/>
                <w:szCs w:val="20"/>
                <w:color w:val="auto"/>
              </w:rPr>
            </w:pP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27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14,467</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allowances of $2,174 and $1,557</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54,107</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 related parties</w:t>
            </w:r>
          </w:p>
        </w:tc>
        <w:tc>
          <w:tcPr>
            <w:tcW w:w="2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97,783</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11,507</w:t>
            </w:r>
          </w:p>
        </w:tc>
        <w:tc>
          <w:tcPr>
            <w:tcW w:w="0" w:type="dxa"/>
            <w:vAlign w:val="bottom"/>
          </w:tcPr>
          <w:p>
            <w:pPr>
              <w:spacing w:after="0"/>
              <w:rPr>
                <w:sz w:val="1"/>
                <w:szCs w:val="1"/>
                <w:color w:val="auto"/>
              </w:rPr>
            </w:pPr>
          </w:p>
        </w:tc>
      </w:tr>
      <w:tr>
        <w:trPr>
          <w:trHeight w:val="20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178,103</w:t>
            </w: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149,572</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13,944</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136,615</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trade names and other intangibles, net</w:t>
            </w:r>
          </w:p>
        </w:tc>
        <w:tc>
          <w:tcPr>
            <w:tcW w:w="2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24,911</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38,815</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4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593,537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549,991</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Checks issued not presented for payment</w:t>
            </w:r>
          </w:p>
        </w:tc>
        <w:tc>
          <w:tcPr>
            <w:tcW w:w="27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Line of credit</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57,483</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50,592</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2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obligations under finance leases</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obligations under operating leases</w:t>
            </w:r>
          </w:p>
        </w:tc>
        <w:tc>
          <w:tcPr>
            <w:tcW w:w="2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18,001</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169,699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145,199</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103,324</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 non-current</w:t>
            </w:r>
          </w:p>
        </w:tc>
        <w:tc>
          <w:tcPr>
            <w:tcW w:w="2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19,929</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under operating leases, non-current</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10,125</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29,392</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352,420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308,697</w:t>
            </w:r>
          </w:p>
        </w:tc>
        <w:tc>
          <w:tcPr>
            <w:tcW w:w="0" w:type="dxa"/>
            <w:vAlign w:val="bottom"/>
          </w:tcPr>
          <w:p>
            <w:pPr>
              <w:spacing w:after="0"/>
              <w:rPr>
                <w:sz w:val="1"/>
                <w:szCs w:val="1"/>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14)</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00" w:type="dxa"/>
            <w:vAlign w:val="bottom"/>
            <w:gridSpan w:val="3"/>
          </w:tcPr>
          <w:p>
            <w:pPr>
              <w:ind w:left="240"/>
              <w:spacing w:after="0" w:line="162" w:lineRule="exact"/>
              <w:rPr>
                <w:sz w:val="20"/>
                <w:szCs w:val="20"/>
                <w:color w:val="auto"/>
              </w:rPr>
            </w:pPr>
            <w:r>
              <w:rPr>
                <w:rFonts w:ascii="Times New Roman" w:cs="Times New Roman" w:eastAsia="Times New Roman" w:hAnsi="Times New Roman"/>
                <w:sz w:val="16"/>
                <w:szCs w:val="16"/>
                <w:color w:val="auto"/>
              </w:rPr>
              <w:t>Series A Participating Preferred Stock, par value $0.001; 100,000 shares authorized, no shares issued and</w:t>
            </w:r>
          </w:p>
        </w:tc>
        <w:tc>
          <w:tcPr>
            <w:tcW w:w="1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outstanding</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Preferred Stock, $0.001 par value; 1,000,000 shares authorized; no shares issued and outstanding</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500" w:type="dxa"/>
            <w:vAlign w:val="bottom"/>
            <w:gridSpan w:val="3"/>
          </w:tcPr>
          <w:p>
            <w:pPr>
              <w:ind w:left="240"/>
              <w:spacing w:after="0" w:line="162" w:lineRule="exact"/>
              <w:rPr>
                <w:sz w:val="20"/>
                <w:szCs w:val="20"/>
                <w:color w:val="auto"/>
              </w:rPr>
            </w:pPr>
            <w:r>
              <w:rPr>
                <w:rFonts w:ascii="Times New Roman" w:cs="Times New Roman" w:eastAsia="Times New Roman" w:hAnsi="Times New Roman"/>
                <w:sz w:val="16"/>
                <w:szCs w:val="16"/>
                <w:color w:val="auto"/>
              </w:rPr>
              <w:t>Common Stock, $0.0001 par value; 100,000,000 shares authorized; 55,012,128 and 54,735,073 shares</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00" w:type="dxa"/>
            <w:vAlign w:val="bottom"/>
            <w:gridSpan w:val="3"/>
          </w:tcPr>
          <w:p>
            <w:pPr>
              <w:ind w:left="240"/>
              <w:spacing w:after="0" w:line="162" w:lineRule="exact"/>
              <w:rPr>
                <w:sz w:val="20"/>
                <w:szCs w:val="20"/>
                <w:color w:val="auto"/>
              </w:rPr>
            </w:pPr>
            <w:r>
              <w:rPr>
                <w:rFonts w:ascii="Times New Roman" w:cs="Times New Roman" w:eastAsia="Times New Roman" w:hAnsi="Times New Roman"/>
                <w:sz w:val="16"/>
                <w:szCs w:val="16"/>
                <w:color w:val="auto"/>
              </w:rPr>
              <w:t>issued and 53,014,705 and 52,737,650 shares outstanding as of June 30, 2025 and December 31, 2024,</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respectively</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Treasury stock, at cost; 1,997,423 shares as of June 30, 2025 and December 31, 2024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604,235</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4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(357,199)</w:t>
            </w:r>
          </w:p>
        </w:tc>
        <w:tc>
          <w:tcPr>
            <w:tcW w:w="0" w:type="dxa"/>
            <w:vAlign w:val="bottom"/>
          </w:tcPr>
          <w:p>
            <w:pPr>
              <w:spacing w:after="0"/>
              <w:rPr>
                <w:sz w:val="1"/>
                <w:szCs w:val="1"/>
                <w:color w:val="auto"/>
              </w:rPr>
            </w:pPr>
          </w:p>
        </w:tc>
      </w:tr>
      <w:tr>
        <w:trPr>
          <w:trHeight w:val="208"/>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 ATTRIBUTABLE TO HF FOODS GROUP INC.</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239,705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239,291</w:t>
            </w: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0" w:type="dxa"/>
            <w:vAlign w:val="bottom"/>
          </w:tcPr>
          <w:p>
            <w:pPr>
              <w:spacing w:after="0"/>
              <w:rPr>
                <w:sz w:val="1"/>
                <w:szCs w:val="1"/>
                <w:color w:val="auto"/>
              </w:rPr>
            </w:pPr>
          </w:p>
        </w:tc>
      </w:tr>
      <w:tr>
        <w:trPr>
          <w:trHeight w:val="208"/>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241,117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241,294</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593,537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549,991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90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3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 third parties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611,023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596,167</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revenue - related parties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NET REVENUE</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314,853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302,342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613,281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597,996</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 third parties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493,441</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 - related parties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259,721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249,877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507,190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495,120</w:t>
            </w:r>
          </w:p>
        </w:tc>
        <w:tc>
          <w:tcPr>
            <w:tcW w:w="0" w:type="dxa"/>
            <w:vAlign w:val="bottom"/>
          </w:tcPr>
          <w:p>
            <w:pPr>
              <w:spacing w:after="0"/>
              <w:rPr>
                <w:sz w:val="1"/>
                <w:szCs w:val="1"/>
                <w:color w:val="auto"/>
              </w:rPr>
            </w:pPr>
          </w:p>
        </w:tc>
      </w:tr>
      <w:tr>
        <w:trPr>
          <w:trHeight w:val="270"/>
        </w:trPr>
        <w:tc>
          <w:tcPr>
            <w:tcW w:w="43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55,132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52,465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106,091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102,876</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 selling and administrative expenses</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51,013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49,840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100,818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100,336</w:t>
            </w:r>
          </w:p>
        </w:tc>
        <w:tc>
          <w:tcPr>
            <w:tcW w:w="0" w:type="dxa"/>
            <w:vAlign w:val="bottom"/>
          </w:tcPr>
          <w:p>
            <w:pPr>
              <w:spacing w:after="0"/>
              <w:rPr>
                <w:sz w:val="1"/>
                <w:szCs w:val="1"/>
                <w:color w:val="auto"/>
              </w:rPr>
            </w:pPr>
          </w:p>
        </w:tc>
      </w:tr>
      <w:tr>
        <w:trPr>
          <w:trHeight w:val="208"/>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5,273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2,540</w:t>
            </w: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5,953</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interest rate swap contracts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guarantee income</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w:t>
            </w:r>
          </w:p>
        </w:tc>
        <w:tc>
          <w:tcPr>
            <w:tcW w:w="0" w:type="dxa"/>
            <w:vAlign w:val="bottom"/>
          </w:tcPr>
          <w:p>
            <w:pPr>
              <w:spacing w:after="0"/>
              <w:rPr>
                <w:sz w:val="1"/>
                <w:szCs w:val="1"/>
                <w:color w:val="auto"/>
              </w:rPr>
            </w:pPr>
          </w:p>
        </w:tc>
      </w:tr>
      <w:tr>
        <w:trPr>
          <w:trHeight w:val="208"/>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1,834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(1,431)</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1,094</w:t>
            </w:r>
          </w:p>
        </w:tc>
        <w:tc>
          <w:tcPr>
            <w:tcW w:w="0" w:type="dxa"/>
            <w:vAlign w:val="bottom"/>
          </w:tcPr>
          <w:p>
            <w:pPr>
              <w:spacing w:after="0"/>
              <w:rPr>
                <w:sz w:val="1"/>
                <w:szCs w:val="1"/>
                <w:color w:val="auto"/>
              </w:rPr>
            </w:pPr>
          </w:p>
        </w:tc>
      </w:tr>
      <w:tr>
        <w:trPr>
          <w:trHeight w:val="272"/>
        </w:trPr>
        <w:tc>
          <w:tcPr>
            <w:tcW w:w="43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0" w:type="dxa"/>
            <w:vAlign w:val="bottom"/>
          </w:tcPr>
          <w:p>
            <w:pPr>
              <w:spacing w:after="0"/>
              <w:rPr>
                <w:sz w:val="1"/>
                <w:szCs w:val="1"/>
                <w:color w:val="auto"/>
              </w:rPr>
            </w:pPr>
          </w:p>
        </w:tc>
      </w:tr>
      <w:tr>
        <w:trPr>
          <w:trHeight w:val="145"/>
        </w:trPr>
        <w:tc>
          <w:tcPr>
            <w:tcW w:w="438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6"/>
                <w:szCs w:val="16"/>
                <w:b w:val="1"/>
                <w:bCs w:val="1"/>
                <w:color w:val="auto"/>
              </w:rPr>
              <w:t>NET INCOME (LOSS) AND COMPREHENSIVE</w:t>
            </w:r>
          </w:p>
        </w:tc>
        <w:tc>
          <w:tcPr>
            <w:tcW w:w="40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4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interests</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142"/>
        </w:trPr>
        <w:tc>
          <w:tcPr>
            <w:tcW w:w="438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b w:val="1"/>
                <w:bCs w:val="1"/>
                <w:color w:val="auto"/>
              </w:rPr>
              <w:t>NET INCOME (LOSS) AND COMPREHENSIVE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b w:val="1"/>
                <w:bCs w:val="1"/>
                <w:color w:val="auto"/>
              </w:rPr>
              <w:t>INCOME (LOSS) ATTRIBUTABLE TO HF FOODS</w:t>
            </w:r>
          </w:p>
        </w:tc>
        <w:tc>
          <w:tcPr>
            <w:tcW w:w="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1,216</w:t>
            </w:r>
          </w:p>
        </w:tc>
        <w:tc>
          <w:tcPr>
            <w:tcW w:w="10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00" w:type="dxa"/>
            <w:vAlign w:val="bottom"/>
          </w:tcPr>
          <w:p>
            <w:pPr>
              <w:spacing w:after="0"/>
              <w:rPr>
                <w:sz w:val="14"/>
                <w:szCs w:val="14"/>
                <w:color w:val="auto"/>
              </w:rPr>
            </w:pP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(429)</w:t>
            </w:r>
          </w:p>
        </w:tc>
        <w:tc>
          <w:tcPr>
            <w:tcW w:w="80" w:type="dxa"/>
            <w:vAlign w:val="bottom"/>
          </w:tcPr>
          <w:p>
            <w:pPr>
              <w:spacing w:after="0"/>
              <w:rPr>
                <w:sz w:val="14"/>
                <w:szCs w:val="14"/>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(677)</w:t>
            </w:r>
          </w:p>
        </w:tc>
        <w:tc>
          <w:tcPr>
            <w:tcW w:w="0" w:type="dxa"/>
            <w:vAlign w:val="bottom"/>
          </w:tcPr>
          <w:p>
            <w:pPr>
              <w:spacing w:after="0"/>
              <w:rPr>
                <w:sz w:val="1"/>
                <w:szCs w:val="1"/>
                <w:color w:val="auto"/>
              </w:rPr>
            </w:pPr>
          </w:p>
        </w:tc>
      </w:tr>
      <w:tr>
        <w:trPr>
          <w:trHeight w:val="194"/>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GROUP INC.</w:t>
            </w:r>
          </w:p>
        </w:tc>
        <w:tc>
          <w:tcPr>
            <w:tcW w:w="4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COMMON SHARE - BASIC</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COMMON SHARE - DILUTED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 BASIC</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52,969,037</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52,585,715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52,853,982</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52,370,842</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 DILUTED</w:t>
            </w: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53,414,715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52,661,119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52,853,982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52,370,842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76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(1,020)</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(324)</w:t>
            </w:r>
          </w:p>
        </w:tc>
      </w:tr>
      <w:tr>
        <w:trPr>
          <w:trHeight w:val="25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Adjustments to reconcile net loss to net cash provided by operating activities:</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13,266</w:t>
            </w: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Provision (credit) for expected credit losses</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0"/>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tax benefit</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r>
      <w:tr>
        <w:trPr>
          <w:trHeight w:val="246"/>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Change in fair value of interest rate swap contracts</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w:t>
            </w:r>
          </w:p>
        </w:tc>
      </w:tr>
      <w:tr>
        <w:trPr>
          <w:trHeight w:val="233"/>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w:t>
            </w: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Non-cash lease expense</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r>
      <w:tr>
        <w:trPr>
          <w:trHeight w:val="233"/>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Lease guarantee income</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w:t>
            </w: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non-cash (income) expense</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33"/>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w:t>
            </w:r>
          </w:p>
        </w:tc>
      </w:tr>
      <w:tr>
        <w:trPr>
          <w:trHeight w:val="233"/>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 - related parties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(13,614)</w:t>
            </w:r>
          </w:p>
        </w:tc>
      </w:tr>
      <w:tr>
        <w:trPr>
          <w:trHeight w:val="233"/>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long-term assets</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r>
      <w:tr>
        <w:trPr>
          <w:trHeight w:val="233"/>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Checks issued not presented for payment</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w:t>
            </w: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10,880</w:t>
            </w:r>
          </w:p>
        </w:tc>
      </w:tr>
      <w:tr>
        <w:trPr>
          <w:trHeight w:val="233"/>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r>
      <w:tr>
        <w:trPr>
          <w:trHeight w:val="236"/>
        </w:trPr>
        <w:tc>
          <w:tcPr>
            <w:tcW w:w="76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w:t>
            </w:r>
          </w:p>
        </w:tc>
      </w:tr>
      <w:tr>
        <w:trPr>
          <w:trHeight w:val="243"/>
        </w:trPr>
        <w:tc>
          <w:tcPr>
            <w:tcW w:w="7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10,468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1,941</w:t>
            </w:r>
          </w:p>
        </w:tc>
      </w:tr>
      <w:tr>
        <w:trPr>
          <w:trHeight w:val="213"/>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(6,331)</w:t>
            </w:r>
          </w:p>
        </w:tc>
      </w:tr>
      <w:tr>
        <w:trPr>
          <w:trHeight w:val="236"/>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(6,592)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(6,331)</w:t>
            </w:r>
          </w:p>
        </w:tc>
      </w:tr>
      <w:tr>
        <w:trPr>
          <w:trHeight w:val="213"/>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tax withholding related to vested stock awards</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33"/>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line of credit</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631,713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735,717</w:t>
            </w:r>
          </w:p>
        </w:tc>
      </w:tr>
      <w:tr>
        <w:trPr>
          <w:trHeight w:val="25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line of credit</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(628,237)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(727,958)</w:t>
            </w:r>
          </w:p>
        </w:tc>
      </w:tr>
      <w:tr>
        <w:trPr>
          <w:trHeight w:val="233"/>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w:t>
            </w:r>
          </w:p>
        </w:tc>
      </w:tr>
      <w:tr>
        <w:trPr>
          <w:trHeight w:val="25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debt financing costs</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Repayment of obligations under finance leases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w:t>
            </w:r>
          </w:p>
        </w:tc>
      </w:tr>
      <w:tr>
        <w:trPr>
          <w:trHeight w:val="237"/>
        </w:trPr>
        <w:tc>
          <w:tcPr>
            <w:tcW w:w="7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(2,693)</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3,126</w:t>
            </w:r>
          </w:p>
        </w:tc>
      </w:tr>
      <w:tr>
        <w:trPr>
          <w:trHeight w:val="233"/>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(1,264)</w:t>
            </w:r>
          </w:p>
        </w:tc>
      </w:tr>
      <w:tr>
        <w:trPr>
          <w:trHeight w:val="24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at beginning of the period</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14,467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15,232</w:t>
            </w:r>
          </w:p>
        </w:tc>
      </w:tr>
      <w:tr>
        <w:trPr>
          <w:trHeight w:val="237"/>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at end of the period</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15,650</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13,968</w:t>
            </w:r>
          </w:p>
        </w:tc>
      </w:tr>
      <w:tr>
        <w:trPr>
          <w:trHeight w:val="256"/>
        </w:trPr>
        <w:tc>
          <w:tcPr>
            <w:tcW w:w="76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r>
      <w:tr>
        <w:trPr>
          <w:trHeight w:val="233"/>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16,542</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5,222</w:t>
            </w:r>
          </w:p>
        </w:tc>
      </w:tr>
      <w:tr>
        <w:trPr>
          <w:trHeight w:val="23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Property acquired in exchange for finance leases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9,218</w:t>
            </w:r>
          </w:p>
        </w:tc>
      </w:tr>
      <w:tr>
        <w:trPr>
          <w:trHeight w:val="280"/>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Dissolution of noncontrolling interests</w:t>
            </w: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bl>
    <w:p>
      <w:pPr>
        <w:spacing w:after="0" w:line="200" w:lineRule="exact"/>
        <w:rPr>
          <w:sz w:val="20"/>
          <w:szCs w:val="20"/>
          <w:color w:val="auto"/>
        </w:rPr>
      </w:pPr>
    </w:p>
    <w:p>
      <w:pPr>
        <w:sectPr>
          <w:pgSz w:w="11900" w:h="16838" w:orient="portrait"/>
          <w:cols w:equalWidth="0" w:num="1">
            <w:col w:w="10780"/>
          </w:cols>
          <w:pgMar w:left="560" w:top="333"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333" w:right="559" w:bottom="144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4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27"/>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HF Foods Group</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5"/>
                <w:szCs w:val="15"/>
                <w:color w:val="auto"/>
              </w:rPr>
            </w:pPr>
          </w:p>
        </w:tc>
        <w:tc>
          <w:tcPr>
            <w:tcW w:w="102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4"/>
        </w:trPr>
        <w:tc>
          <w:tcPr>
            <w:tcW w:w="240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102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24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54,153,391</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1,997,423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(7,750)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603,094</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(308,688)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286,661</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287,983</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 income</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93"/>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37"/>
        </w:trPr>
        <w:tc>
          <w:tcPr>
            <w:tcW w:w="24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54,153,391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1,997,423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603,832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(309,382)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286,705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288,162</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400" w:type="dxa"/>
            <w:vAlign w:val="bottom"/>
            <w:vMerge w:val="continue"/>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common stock pursuant</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 equity compensation plan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555,181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Shares withheld for tax withholdings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vested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Dissolution of noncontrolling</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interests</w:t>
            </w:r>
          </w:p>
        </w:tc>
        <w:tc>
          <w:tcPr>
            <w:tcW w:w="98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37"/>
        </w:trPr>
        <w:tc>
          <w:tcPr>
            <w:tcW w:w="24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54,668,169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1,997,423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603,454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(309,365)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286,344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288,791</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54,735,073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1,997,423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604,235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(357,199)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239,291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241,294</w:t>
            </w:r>
          </w:p>
        </w:tc>
        <w:tc>
          <w:tcPr>
            <w:tcW w:w="0" w:type="dxa"/>
            <w:vAlign w:val="bottom"/>
          </w:tcPr>
          <w:p>
            <w:pPr>
              <w:spacing w:after="0"/>
              <w:rPr>
                <w:sz w:val="1"/>
                <w:szCs w:val="1"/>
                <w:color w:val="auto"/>
              </w:rPr>
            </w:pPr>
          </w:p>
        </w:tc>
      </w:tr>
      <w:tr>
        <w:trPr>
          <w:trHeight w:val="206"/>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21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54,735,073</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1,997,423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(7,750)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604,609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(358,844)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238,020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2,118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240,138</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180"/>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pursuant</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 equity compensation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316,251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Shares withheld for tax withholdings</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on vested awards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06"/>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23"/>
        </w:trPr>
        <w:tc>
          <w:tcPr>
            <w:tcW w:w="24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55,012,128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1,997,423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605,078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(357,628)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239,705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241,117</w:t>
            </w:r>
          </w:p>
        </w:tc>
        <w:tc>
          <w:tcPr>
            <w:tcW w:w="0" w:type="dxa"/>
            <w:vAlign w:val="bottom"/>
          </w:tcPr>
          <w:p>
            <w:pPr>
              <w:spacing w:after="0"/>
              <w:rPr>
                <w:sz w:val="1"/>
                <w:szCs w:val="1"/>
                <w:color w:val="auto"/>
              </w:rPr>
            </w:pPr>
          </w:p>
        </w:tc>
      </w:tr>
      <w:tr>
        <w:trPr>
          <w:trHeight w:val="37"/>
        </w:trPr>
        <w:tc>
          <w:tcPr>
            <w:tcW w:w="24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General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HF Foods Group Inc., headquartered in Las Vegas, Nevada, operating through our subsidiaries (collectively “HF Foods” or the “Company”) is a marketer and distributor of fresh produce, frozen and dry food, and non-food products to Asian restaurants, as well as other foodservice customers, throughout the United States. With multiple distribution centers located throughout the nation, HF Foods supplies Asian cuisine through its relationships with growers and suppliers of food products in North America, South America and Asia. The Company’s business consists of one operating segment, which is also its one reportable segment: HF Foods, which operates solely in the United States, offers specialty restaurant foods and supplies to its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and applicable rules and regulations of the U.S. Securities and Exchange Commission (“SEC”) regarding interim financial reporting. All adjustments (consisting of normal recurring accruals) considered necessary for a fair presentation have been included.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and related financial information should be read in conjunction with the audited consolidated financial statements and the related notes thereto that are included in our Annual Report on Form 10-K for the year ended December 31, 2024 filed with the SEC on March 17, 2025 (our “2024 Annual Report”). There have been no material changes to our significant accounting policies as compared to the significant accounting policies described in our 2024 Annual Report.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significant intercompany balances and transactions have been eliminated in consolidation. For consolidated entities where we own or are exposed to less than 100% of the economics, the Company records net income (loss) attributable to noncontrolling interests in its condensed consolidated statements of operations and comprehensive income (loss) equal to the percentage of the economic or ownership interest retained in such entity by the respective noncontrolling 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the Company reclassified the presentation of checks issued not presented for payment from cash flows from financing activities to cash flows from operating activities in the condensed consolidated statement of cash flows. Prior periods amounts were reclassified to conform to the current period presentation. The reclassification did not impact condensed consolidated balance sheets or condensed consolidated statements of operations and comprehensive income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GAAP provides guidance on the identification of a variable interest entity (“VIE”) and financial reporting for an entity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has the obligation to absorb losses or the right to receive the economic benefits of the VIE that could be potentially significant to the VIE. If deemed the primary beneficiary, the Company consolidates the VIE.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the quarter ended June 30, 2025, the Company had no VIEs. The Company had one VIE, AnHeart, Inc. (“AnHeart”), for which the Company was not the primary beneficiary and therefore did not consolidate. Effective April 30, 2024, the Company assumed the lease for which AnHeart was a lessee and the Company was a guarantor, and as such, it no longer recognizes AnHeart as a VIE. See </w:t>
      </w:r>
      <w:r>
        <w:rPr>
          <w:rFonts w:ascii="Times New Roman" w:cs="Times New Roman" w:eastAsia="Times New Roman" w:hAnsi="Times New Roman"/>
          <w:sz w:val="18"/>
          <w:szCs w:val="18"/>
          <w:i w:val="1"/>
          <w:iCs w:val="1"/>
          <w:color w:val="auto"/>
        </w:rPr>
        <w:t>Note 14 - Commitments and Contingencies</w:t>
      </w:r>
      <w:r>
        <w:rPr>
          <w:rFonts w:ascii="Times New Roman" w:cs="Times New Roman" w:eastAsia="Times New Roman" w:hAnsi="Times New Roman"/>
          <w:sz w:val="18"/>
          <w:szCs w:val="18"/>
          <w:color w:val="auto"/>
        </w:rPr>
        <w:t xml:space="preserve"> for additional information on AnHeart.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requires that noncontrolling interests in subsidiaries and affiliates be reported in the equity section of the Company’s condensed consolidated balance sheets. In addition, the amounts attributable to the net income (loss) of those noncontrolling interests are reported separately in the condensed consolidated statements of operations and comprehensive income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noncontrolling interest equity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Ownership of</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noncontrolling interest at</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8"/>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320" w:type="dxa"/>
            <w:vAlign w:val="bottom"/>
          </w:tcPr>
          <w:p>
            <w:pPr>
              <w:spacing w:after="0"/>
              <w:rPr>
                <w:sz w:val="20"/>
                <w:szCs w:val="20"/>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4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 Food, Inc.</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Monterey Food Service, LLC</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7"/>
        </w:trPr>
        <w:tc>
          <w:tcPr>
            <w:tcW w:w="4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8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each reporting period. Actual results could differ from those estimates. Significant accounting estimates reflected in the Company’s condensed consolidated financial statements include, but are not limited to, inventory reserves, impairment of long-lived assets, and impairment of goodwill.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Income Taxes (Topic 740): Improvements to Income Tax Disclosures, which requires public entities to disclose specific categories in its annual effective tax rate reconciliation and disaggregated information about significant reconciling items by jurisdiction and by nature. This guidance also requires entities to disclose their income tax payments (net of refunds) to international, federal, and state and local jurisdictions. This guidance is effective for fiscal years beginning after December 15, 2024. Upon adoption, ASU 2023-09 should be applied on a prospective basis while retrospective application is permitted. The Company does not expect this adoption to have a material impact on its consolidated financial statements.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guidance requires additional disclosure of certain amounts included in the expense captions presented on the Statement of Operations as well as disclosures about selling expenses. This guidance is effective on a prospective basis, with the option for retrospective application, for annual periods beginning after December 15, 2026 and interim reporting periods beginning after December 15, 2027. The Company is in the process of assessing the impact the adoption of this guidance will have on the Company’s financial statement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(Topic 280): Improvements to Reportable Segment Disclosures, which requires enhanced disclosures about segment expenses on an annual and interim basis. This standard is effective for the Company’s consolidated financial statements for the year ending December 31, 2024 and for interim periods beginning in 2025. See </w:t>
      </w:r>
      <w:r>
        <w:rPr>
          <w:rFonts w:ascii="Times New Roman" w:cs="Times New Roman" w:eastAsia="Times New Roman" w:hAnsi="Times New Roman"/>
          <w:sz w:val="18"/>
          <w:szCs w:val="18"/>
          <w:i w:val="1"/>
          <w:iCs w:val="1"/>
          <w:color w:val="auto"/>
        </w:rPr>
        <w:t>Note 13 - Segment Information</w:t>
      </w:r>
      <w:r>
        <w:rPr>
          <w:rFonts w:ascii="Times New Roman" w:cs="Times New Roman" w:eastAsia="Times New Roman" w:hAnsi="Times New Roman"/>
          <w:sz w:val="18"/>
          <w:szCs w:val="18"/>
          <w:color w:val="auto"/>
        </w:rPr>
        <w:t xml:space="preserve"> in the accompanying notes to the condensed consolidated financial statements for further detail.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Revenue</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7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net revenue disaggregated by principal product categories: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20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00" w:type="dxa"/>
            <w:vAlign w:val="bottom"/>
            <w:tcBorders>
              <w:bottom w:val="single" w:sz="8" w:color="auto"/>
            </w:tcBorders>
          </w:tcPr>
          <w:p>
            <w:pPr>
              <w:spacing w:after="0"/>
              <w:rPr>
                <w:sz w:val="24"/>
                <w:szCs w:val="24"/>
                <w:color w:val="auto"/>
              </w:rPr>
            </w:pPr>
          </w:p>
        </w:tc>
      </w:tr>
      <w:tr>
        <w:trPr>
          <w:trHeight w:val="26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22"/>
                <w:szCs w:val="22"/>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Seafood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217,655</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193,925</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7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Asian Specialty</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57,124</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77,493</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118,104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157,702</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7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Meat and Poultry</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71,769</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63,792</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137,794</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121,542</w:t>
            </w: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7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Produce</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27,606</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64,254</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7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 and Other</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15,645</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29,100</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32,019</w:t>
            </w: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7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31,295</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28,554</w:t>
            </w: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8"/>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613,281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Balance Sheet Components</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55,664</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52,083</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Movement of allowance for expected credit losses was as follows:</w:t>
            </w:r>
          </w:p>
        </w:tc>
        <w:tc>
          <w:tcPr>
            <w:tcW w:w="1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26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(credit) for expected credit losses</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 write-offs</w:t>
            </w:r>
          </w:p>
        </w:tc>
        <w:tc>
          <w:tcPr>
            <w:tcW w:w="1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9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1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26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2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to suppliers</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6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940" w:type="dxa"/>
            <w:vAlign w:val="bottom"/>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2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6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Automobiles </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50,565</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Building improvements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22,709</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0" w:type="dxa"/>
            <w:vAlign w:val="bottom"/>
          </w:tcPr>
          <w:p>
            <w:pPr>
              <w:spacing w:after="0"/>
              <w:rPr>
                <w:sz w:val="1"/>
                <w:szCs w:val="1"/>
                <w:color w:val="auto"/>
              </w:rPr>
            </w:pPr>
          </w:p>
        </w:tc>
      </w:tr>
      <w:tr>
        <w:trPr>
          <w:trHeight w:val="27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Machinery and equipment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210,232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(60,660)</w:t>
            </w:r>
          </w:p>
        </w:tc>
        <w:tc>
          <w:tcPr>
            <w:tcW w:w="0" w:type="dxa"/>
            <w:vAlign w:val="bottom"/>
          </w:tcPr>
          <w:p>
            <w:pPr>
              <w:spacing w:after="0"/>
              <w:rPr>
                <w:sz w:val="1"/>
                <w:szCs w:val="1"/>
                <w:color w:val="auto"/>
              </w:rPr>
            </w:pPr>
          </w:p>
        </w:tc>
      </w:tr>
      <w:tr>
        <w:trPr>
          <w:trHeight w:val="26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149,572</w:t>
            </w:r>
          </w:p>
        </w:tc>
        <w:tc>
          <w:tcPr>
            <w:tcW w:w="0" w:type="dxa"/>
            <w:vAlign w:val="bottom"/>
          </w:tcPr>
          <w:p>
            <w:pPr>
              <w:spacing w:after="0"/>
              <w:rPr>
                <w:sz w:val="1"/>
                <w:szCs w:val="1"/>
                <w:color w:val="auto"/>
              </w:rPr>
            </w:pPr>
          </w:p>
        </w:tc>
      </w:tr>
      <w:tr>
        <w:trPr>
          <w:trHeight w:val="21"/>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7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258" w:lineRule="auto"/>
        <w:tabs>
          <w:tab w:leader="none" w:pos="389"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accumulated depreciation of property and equipment related to finance leases was $49.5 million and $17.5 million, respectively, at June 30, 2025 and $36.1 million and $14.3 million, respectively, at December 31, 2024. The total future minimum lease payments under all finance leases as of June 30, 2025 is $47.1 million.</w:t>
      </w: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$3.2 million and $2.5 million for the three months ended June 30, 2025 and 2024, respectively. Depreciation expense was $6.1 million and $5.1 million for the six months ended June 30, 2025 and 2024,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 consisted of the following:</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Ownership as of June 30,</w:t>
            </w:r>
          </w:p>
        </w:tc>
        <w:tc>
          <w:tcPr>
            <w:tcW w:w="260" w:type="dxa"/>
            <w:vAlign w:val="bottom"/>
          </w:tcPr>
          <w:p>
            <w:pPr>
              <w:spacing w:after="0"/>
              <w:rPr>
                <w:sz w:val="24"/>
                <w:szCs w:val="24"/>
                <w:color w:val="auto"/>
              </w:rPr>
            </w:pPr>
          </w:p>
        </w:tc>
        <w:tc>
          <w:tcPr>
            <w:tcW w:w="1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38"/>
        </w:trPr>
        <w:tc>
          <w:tcPr>
            <w:tcW w:w="5160" w:type="dxa"/>
            <w:vAlign w:val="bottom"/>
            <w:vMerge w:val="continue"/>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Asahi Food, Inc. (“Asahi”)</w:t>
            </w: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Pt. Tamron Akuatik Produk Industri (“Tamron”)</w:t>
            </w:r>
          </w:p>
        </w:tc>
        <w:tc>
          <w:tcPr>
            <w:tcW w:w="1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investment in Tamron is accounted for using the measurement alternative under Accounting Standards Codification (“ASC”) Topic 321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which is measured at cost, less any impairment, plus or minus changes resulting from observable price changes in orderly transactions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identical or similar investments, if any. The investment in Asahi is accounted for under the equity method due to the fact that the Company has significant influence but does not exercise control over this investee. The Company determined there was no impairment for the three months ended June 30, 2025 and 2024 for these investments.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9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4"/>
                <w:szCs w:val="24"/>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24"/>
                <w:szCs w:val="24"/>
                <w:color w:val="auto"/>
              </w:rPr>
            </w:pPr>
          </w:p>
        </w:tc>
        <w:tc>
          <w:tcPr>
            <w:tcW w:w="2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and fees</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Self-insurance liability</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from customers</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hierarchy for its assets and liabilities measured at fair value on a recurring basis as of the dates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108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w w:val="97"/>
              </w:rPr>
              <w:t>Quoted Prices in</w:t>
            </w:r>
          </w:p>
        </w:tc>
        <w:tc>
          <w:tcPr>
            <w:tcW w:w="100" w:type="dxa"/>
            <w:vAlign w:val="bottom"/>
          </w:tcPr>
          <w:p>
            <w:pPr>
              <w:spacing w:after="0"/>
              <w:rPr>
                <w:sz w:val="10"/>
                <w:szCs w:val="10"/>
                <w:color w:val="auto"/>
              </w:rPr>
            </w:pPr>
          </w:p>
        </w:tc>
        <w:tc>
          <w:tcPr>
            <w:tcW w:w="11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140" w:type="dxa"/>
            <w:vAlign w:val="bottom"/>
          </w:tcPr>
          <w:p>
            <w:pPr>
              <w:spacing w:after="0"/>
              <w:rPr>
                <w:sz w:val="10"/>
                <w:szCs w:val="10"/>
                <w:color w:val="auto"/>
              </w:rPr>
            </w:pPr>
          </w:p>
        </w:tc>
        <w:tc>
          <w:tcPr>
            <w:tcW w:w="960" w:type="dxa"/>
            <w:vAlign w:val="bottom"/>
          </w:tcPr>
          <w:p>
            <w:pPr>
              <w:jc w:val="center"/>
              <w:ind w:right="65"/>
              <w:spacing w:after="0" w:line="117"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w w:val="97"/>
              </w:rPr>
              <w:t>Quoted Prices in</w:t>
            </w:r>
          </w:p>
        </w:tc>
        <w:tc>
          <w:tcPr>
            <w:tcW w:w="100" w:type="dxa"/>
            <w:vAlign w:val="bottom"/>
          </w:tcPr>
          <w:p>
            <w:pPr>
              <w:spacing w:after="0"/>
              <w:rPr>
                <w:sz w:val="10"/>
                <w:szCs w:val="10"/>
                <w:color w:val="auto"/>
              </w:rPr>
            </w:pP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140" w:type="dxa"/>
            <w:vAlign w:val="bottom"/>
          </w:tcPr>
          <w:p>
            <w:pPr>
              <w:spacing w:after="0"/>
              <w:rPr>
                <w:sz w:val="10"/>
                <w:szCs w:val="10"/>
                <w:color w:val="auto"/>
              </w:rPr>
            </w:pPr>
          </w:p>
        </w:tc>
        <w:tc>
          <w:tcPr>
            <w:tcW w:w="940" w:type="dxa"/>
            <w:vAlign w:val="bottom"/>
          </w:tcPr>
          <w:p>
            <w:pPr>
              <w:jc w:val="center"/>
              <w:ind w:right="85"/>
              <w:spacing w:after="0" w:line="117"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118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Active Markets for</w:t>
            </w:r>
          </w:p>
        </w:tc>
        <w:tc>
          <w:tcPr>
            <w:tcW w:w="11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Active Markets for</w:t>
            </w:r>
          </w:p>
        </w:tc>
        <w:tc>
          <w:tcPr>
            <w:tcW w:w="12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Identical Assets</w:t>
            </w: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Observable Inputs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Identical Assets</w:t>
            </w:r>
          </w:p>
        </w:tc>
        <w:tc>
          <w:tcPr>
            <w:tcW w:w="12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Observable Inputs</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ind w:left="4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which clarifies the definition of fair value, prescribes methods for measuring fair value, and establishes a fair value hierarchy to classify the inputs used in measuring fair value as follows:</w:t>
      </w:r>
    </w:p>
    <w:p>
      <w:pPr>
        <w:spacing w:after="0" w:line="187"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unadjusted quoted prices in active markets for identical assets or liabilities available at the measurement date.</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inputs which reflect the reporting entity’s own assumptions about what assumptions market participants would use in pricing the asset or liability based on the best available information.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balance sheets for cash, accounts receivable, other current assets, accounts payable, checks issued not presented for payment and accrued expenses and other liabilities approximate their fair value based on the short-term maturity of these instruments.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7 - Derivative Financial Instruments</w:t>
      </w:r>
      <w:r>
        <w:rPr>
          <w:rFonts w:ascii="Times New Roman" w:cs="Times New Roman" w:eastAsia="Times New Roman" w:hAnsi="Times New Roman"/>
          <w:sz w:val="18"/>
          <w:szCs w:val="18"/>
          <w:color w:val="auto"/>
        </w:rPr>
        <w:t xml:space="preserve"> for additional information regarding the Company’s 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Carrying Value and Estimated Fair Value of Outstanding Debt </w:t>
      </w:r>
      <w:r>
        <w:rPr>
          <w:rFonts w:ascii="Times New Roman" w:cs="Times New Roman" w:eastAsia="Times New Roman" w:hAnsi="Times New Roman"/>
          <w:sz w:val="18"/>
          <w:szCs w:val="18"/>
          <w:color w:val="auto"/>
        </w:rPr>
        <w:t>- The following table presents the carrying value and estimated fair value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debt as described in </w:t>
      </w:r>
      <w:r>
        <w:rPr>
          <w:rFonts w:ascii="Times New Roman" w:cs="Times New Roman" w:eastAsia="Times New Roman" w:hAnsi="Times New Roman"/>
          <w:sz w:val="18"/>
          <w:szCs w:val="18"/>
          <w:i w:val="1"/>
          <w:iCs w:val="1"/>
          <w:color w:val="auto"/>
        </w:rPr>
        <w:t>Note 8 - Debt</w:t>
      </w:r>
      <w:r>
        <w:rPr>
          <w:rFonts w:ascii="Times New Roman" w:cs="Times New Roman" w:eastAsia="Times New Roman" w:hAnsi="Times New Roman"/>
          <w:sz w:val="18"/>
          <w:szCs w:val="18"/>
          <w:color w:val="auto"/>
        </w:rPr>
        <w:t>, including the current portion, as of the dates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1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Carrying Value</w:t>
            </w:r>
          </w:p>
        </w:tc>
      </w:tr>
      <w:tr>
        <w:trPr>
          <w:trHeight w:val="183"/>
        </w:trPr>
        <w:tc>
          <w:tcPr>
            <w:tcW w:w="20" w:type="dxa"/>
            <w:vAlign w:val="bottom"/>
          </w:tcPr>
          <w:p>
            <w:pPr>
              <w:spacing w:after="0"/>
              <w:rPr>
                <w:sz w:val="15"/>
                <w:szCs w:val="15"/>
                <w:color w:val="auto"/>
              </w:rPr>
            </w:pPr>
          </w:p>
        </w:tc>
        <w:tc>
          <w:tcPr>
            <w:tcW w:w="460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June 30, 2025</w:t>
            </w: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Fixed rate debt:</w:t>
            </w: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20" w:type="dxa"/>
            <w:vAlign w:val="bottom"/>
            <w:shd w:val="clear" w:color="auto" w:fill="CCEEFF"/>
          </w:tcPr>
          <w:p>
            <w:pPr>
              <w:spacing w:after="0"/>
              <w:rPr>
                <w:sz w:val="18"/>
                <w:szCs w:val="18"/>
                <w:color w:val="auto"/>
              </w:rPr>
            </w:pPr>
          </w:p>
        </w:tc>
        <w:tc>
          <w:tcPr>
            <w:tcW w:w="46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Variable rate debt:</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3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JPMorgan Chase</w:t>
            </w:r>
          </w:p>
        </w:tc>
        <w:tc>
          <w:tcPr>
            <w:tcW w:w="3240" w:type="dxa"/>
            <w:vAlign w:val="bottom"/>
            <w:tcBorders>
              <w:top w:val="single" w:sz="8" w:color="CCEEFF"/>
            </w:tcBorders>
            <w:gridSpan w:val="2"/>
          </w:tcPr>
          <w:p>
            <w:pPr>
              <w:spacing w:after="0"/>
              <w:rPr>
                <w:sz w:val="19"/>
                <w:szCs w:val="19"/>
                <w:color w:val="auto"/>
              </w:rPr>
            </w:pPr>
          </w:p>
        </w:tc>
        <w:tc>
          <w:tcPr>
            <w:tcW w:w="1080" w:type="dxa"/>
            <w:vAlign w:val="bottom"/>
            <w:tcBorders>
              <w:top w:val="single" w:sz="8" w:color="CCEEFF"/>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98,532</w:t>
            </w:r>
          </w:p>
        </w:tc>
        <w:tc>
          <w:tcPr>
            <w:tcW w:w="4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98,532</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r>
      <w:tr>
        <w:trPr>
          <w:trHeight w:val="230"/>
        </w:trPr>
        <w:tc>
          <w:tcPr>
            <w:tcW w:w="20" w:type="dxa"/>
            <w:vAlign w:val="bottom"/>
          </w:tcPr>
          <w:p>
            <w:pPr>
              <w:spacing w:after="0"/>
              <w:rPr>
                <w:sz w:val="19"/>
                <w:szCs w:val="19"/>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East West Bank</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r>
      <w:tr>
        <w:trPr>
          <w:trHeight w:val="270"/>
        </w:trPr>
        <w:tc>
          <w:tcPr>
            <w:tcW w:w="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46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Fixed rate debt:</w:t>
            </w: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institutions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20" w:type="dxa"/>
            <w:vAlign w:val="bottom"/>
          </w:tcPr>
          <w:p>
            <w:pPr>
              <w:spacing w:after="0"/>
              <w:rPr>
                <w:sz w:val="16"/>
                <w:szCs w:val="16"/>
                <w:color w:val="auto"/>
              </w:rPr>
            </w:pPr>
          </w:p>
        </w:tc>
        <w:tc>
          <w:tcPr>
            <w:tcW w:w="46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Variable rate debt:</w:t>
            </w: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101,040</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101,040</w:t>
            </w:r>
          </w:p>
        </w:tc>
      </w:tr>
      <w:tr>
        <w:trPr>
          <w:trHeight w:val="229"/>
        </w:trPr>
        <w:tc>
          <w:tcPr>
            <w:tcW w:w="20" w:type="dxa"/>
            <w:vAlign w:val="bottom"/>
          </w:tcPr>
          <w:p>
            <w:pPr>
              <w:spacing w:after="0"/>
              <w:rPr>
                <w:sz w:val="19"/>
                <w:szCs w:val="19"/>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West Bank</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8 - Debt</w:t>
      </w:r>
      <w:r>
        <w:rPr>
          <w:rFonts w:ascii="Times New Roman" w:cs="Times New Roman" w:eastAsia="Times New Roman" w:hAnsi="Times New Roman"/>
          <w:sz w:val="18"/>
          <w:szCs w:val="18"/>
          <w:color w:val="auto"/>
        </w:rPr>
        <w:t xml:space="preserve"> for additional information regarding the Company’s debt.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of certain assets on a nonrecurring basis when events or changes in circumstances indicate that the carrying value of the assets may not be recoverable. No adjustments to fair value from the write-down of asset values due to impairment were made during the six months ended June 30, 2025 and 2024.</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further disclosed in </w:t>
      </w:r>
      <w:r>
        <w:rPr>
          <w:rFonts w:ascii="Times New Roman" w:cs="Times New Roman" w:eastAsia="Times New Roman" w:hAnsi="Times New Roman"/>
          <w:sz w:val="18"/>
          <w:szCs w:val="18"/>
          <w:i w:val="1"/>
          <w:iCs w:val="1"/>
          <w:color w:val="auto"/>
        </w:rPr>
        <w:t>Note 6 - Goodwill and Acquired Intangible Assets,</w:t>
      </w:r>
      <w:r>
        <w:rPr>
          <w:rFonts w:ascii="Times New Roman" w:cs="Times New Roman" w:eastAsia="Times New Roman" w:hAnsi="Times New Roman"/>
          <w:sz w:val="18"/>
          <w:szCs w:val="18"/>
          <w:color w:val="auto"/>
        </w:rPr>
        <w:t xml:space="preserve"> we performed a quantitative goodwill impairment analysis as of December 31, 2024. The results of testing as of December 31, 2024 concluded that the estimated fair value of our one reporting unit fell short of carrying value, and therefore impairment existed as of that date. Goodwill impairment charges of $46.3 million were recorded in the fourth quarter of the year ended December 31, 2024. The calculation of the fair value of our reporting unit was determined using Level 3 fair value measurements due to its use of internal projections and unobservable measurement inputs.</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assets that were carried at nonrecurring fair value at June 30, 2025. There were no assets carried at nonrecurring fair value other than goodwill at December 31,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6 - Goodwill and Acquired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only one reporting unit at June 30, 2025 and December 31, 2024. The Company tests goodwill for impairment at least annually, as of December 31, or whenever events or changes in circumstances indicated goodwill might be impaired.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declines in the level of stock price prior to year end, the Company performed a quantitative impairment assessment as of December 31, 2024. The results of the testing as of December 31, 2024, concluded that the estimated fair value of the reporting unit fell short of carrying value, and therefore impairment existed as of that date. A goodwill impairment charge of $46.3 million was recorded in the fourth quarter during the year ended December 31, 2024.</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in future periods, the financial performance of the reporting unit does not meet forecasted expectations, or a prolonged decline occurs in the market price of the Company’s common stock, it may cause a change in the results of the impairment assessment and, as such, could result in further impairment of goodwill.</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there were no events or circumstances during the six months ended June 30, 2025 that would more likely than not reduce the fair value of the reporting unit below its carrying value. Goodwill was $38.8 million as of June 30, 2025 and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intangible assets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14"/>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16"/>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65"/>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43"/>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24,742</w:t>
            </w: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136,615</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Management System</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159,392</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233,365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161,526</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intangible assets was $3.9 million and $4.1 million for the three months ended June 30, 2025 and 2024. Amortization expense for acquired intangible assets was $7.8 million and $8.1 million for the six months ended June 30,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utilizes interest rate swaps (“IRS”) for the sole purpose of mitigating interest rate fluctuation risk associated with floating rate debt instruments (as defined in </w:t>
      </w:r>
      <w:r>
        <w:rPr>
          <w:rFonts w:ascii="Times New Roman" w:cs="Times New Roman" w:eastAsia="Times New Roman" w:hAnsi="Times New Roman"/>
          <w:sz w:val="18"/>
          <w:szCs w:val="18"/>
          <w:i w:val="1"/>
          <w:iCs w:val="1"/>
          <w:color w:val="auto"/>
        </w:rPr>
        <w:t>Note 8 - Debt</w:t>
      </w:r>
      <w:r>
        <w:rPr>
          <w:rFonts w:ascii="Times New Roman" w:cs="Times New Roman" w:eastAsia="Times New Roman" w:hAnsi="Times New Roman"/>
          <w:sz w:val="18"/>
          <w:szCs w:val="18"/>
          <w:color w:val="auto"/>
        </w:rPr>
        <w:t>). The Company does not use any other derivative financial instruments for trading or speculative purposes.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20, 2019, HF Foods entered into two IRS contracts with East West Bank (the “EWB IRS”) for initial notional amounts of $1.1 million and $2.6 million, respectively. On April 20, 2023, the Company amended the corresponding mortgage term loans, which pegged the two mortgage term loans to 1-month Term SOFR (Secured Overnight Financing Rate) + 2.29% per annum for the remaining duration of the term loans. The amended EWB IRS contracts fixed the two term loans at 4.23% per annum until maturity in September 2029.</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19, 2019, HF Foods entered into an IRS contract with Bank of America (the “BOA IRS”) for an initial notional amount of $2.7 million in conjunction with a newly contracted mortgage term loan of corresponding amount. On December 19, 2021, the Company entered into the Second Amendment to Loan Agreement, which pegged the mortgage term loan to Term SOFR + 2.5%</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The BOA IRS was modified accordingly to fix the SOFR based loan to approximately 4.50%. The term loan and corresponding BOA IRS contract mature in December 2029.</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15, 2023, the Company entered into an amortizing IRS contract with JPMorgan Chase for an initial notional amount of $120.0 million, effective from March 1, 2023 and expiring in March 2028, as a means to partially hedge its existing floating rate loans exposure. Pursuant to the agreement, the Company will pay the swap counterparty a fixed rate of 4.11% in exchange for floating payments based on Term SOFR.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the aforementioned IRS contracts currently in place and did not designate those as cash flow hedges. Hence, the fair value changes of these IRS contracts are accounted for and recognized as a change in fair value of interest rate swap contracts in the condensed consolidated statements of operations and comprehensive income (loss).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Company determined that the fair values of the IRS contracts were $0.3 million in an asset position and $1.6 million in a liability position. As of December 31, 2024, the fair values of the IRS contracts were $0.5 million in an asset position and none in a liability position. The Company includes these in other long-term assets and other long-term liabilities, respectively, on the condensed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at June 30, 2025 and December 31, 2024 is summarized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8"/>
        </w:trPr>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5"/>
        </w:trPr>
        <w:tc>
          <w:tcPr>
            <w:tcW w:w="27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Bank Name</w:t>
            </w:r>
          </w:p>
        </w:tc>
        <w:tc>
          <w:tcPr>
            <w:tcW w:w="120" w:type="dxa"/>
            <w:vAlign w:val="bottom"/>
            <w:tcBorders>
              <w:bottom w:val="single" w:sz="8" w:color="CCEEFF"/>
            </w:tcBorders>
          </w:tcPr>
          <w:p>
            <w:pPr>
              <w:spacing w:after="0"/>
              <w:rPr>
                <w:sz w:val="23"/>
                <w:szCs w:val="23"/>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63"/>
        </w:trPr>
        <w:tc>
          <w:tcPr>
            <w:tcW w:w="270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 xml:space="preserve">Bank of America </w:t>
            </w:r>
            <w:r>
              <w:rPr>
                <w:rFonts w:ascii="Times New Roman" w:cs="Times New Roman" w:eastAsia="Times New Roman" w:hAnsi="Times New Roman"/>
                <w:sz w:val="28"/>
                <w:szCs w:val="28"/>
                <w:color w:val="auto"/>
                <w:vertAlign w:val="superscript"/>
              </w:rPr>
              <w:t>(a)</w:t>
            </w:r>
          </w:p>
        </w:tc>
        <w:tc>
          <w:tcPr>
            <w:tcW w:w="120" w:type="dxa"/>
            <w:vAlign w:val="bottom"/>
            <w:shd w:val="clear" w:color="auto" w:fill="CCEEFF"/>
          </w:tcPr>
          <w:p>
            <w:pPr>
              <w:spacing w:after="0"/>
              <w:rPr>
                <w:sz w:val="22"/>
                <w:szCs w:val="22"/>
                <w:color w:val="auto"/>
              </w:rPr>
            </w:pPr>
          </w:p>
        </w:tc>
        <w:tc>
          <w:tcPr>
            <w:tcW w:w="2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October 2026 - December 2029</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4.34% - 6.94%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70"/>
        </w:trPr>
        <w:tc>
          <w:tcPr>
            <w:tcW w:w="282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East West Bank </w:t>
            </w:r>
            <w:r>
              <w:rPr>
                <w:rFonts w:ascii="Times New Roman" w:cs="Times New Roman" w:eastAsia="Times New Roman" w:hAnsi="Times New Roman"/>
                <w:sz w:val="28"/>
                <w:szCs w:val="28"/>
                <w:color w:val="auto"/>
                <w:vertAlign w:val="superscript"/>
              </w:rPr>
              <w:t>(b)</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2027 - September 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6.61% - 8.00%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r>
      <w:tr>
        <w:trPr>
          <w:trHeight w:val="270"/>
        </w:trPr>
        <w:tc>
          <w:tcPr>
            <w:tcW w:w="282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JPMorgan Chase </w:t>
            </w:r>
            <w:r>
              <w:rPr>
                <w:rFonts w:ascii="Times New Roman" w:cs="Times New Roman" w:eastAsia="Times New Roman" w:hAnsi="Times New Roman"/>
                <w:sz w:val="28"/>
                <w:szCs w:val="28"/>
                <w:color w:val="auto"/>
                <w:vertAlign w:val="superscript"/>
              </w:rPr>
              <w:t>(c)</w:t>
            </w:r>
          </w:p>
        </w:tc>
        <w:tc>
          <w:tcPr>
            <w:tcW w:w="2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2030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101,255</w:t>
            </w:r>
          </w:p>
        </w:tc>
      </w:tr>
      <w:tr>
        <w:trPr>
          <w:trHeight w:val="237"/>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debt, principal amount</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108,949</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7"/>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debt, carrying value</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108,734</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2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r>
      <w:tr>
        <w:trPr>
          <w:trHeight w:val="237"/>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103,324</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340" w:hanging="332"/>
        <w:spacing w:after="0" w:line="249" w:lineRule="auto"/>
        <w:tabs>
          <w:tab w:leader="none" w:pos="33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balance consists of real estate term loan and equipment term loan, collateralized by one real property and specific equipment. The real estate term loan is pegged to TERM SOFR + 2.5%.</w:t>
      </w:r>
    </w:p>
    <w:p>
      <w:pPr>
        <w:spacing w:after="0" w:line="1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term loans with East West Bank are collateralized by three real properties. Balloon payments of $1.8 million and $3.0 million are due at maturity in 2027 and 2029, respectively.</w:t>
      </w:r>
    </w:p>
    <w:p>
      <w:pPr>
        <w:spacing w:after="0" w:line="14" w:lineRule="exact"/>
        <w:rPr>
          <w:rFonts w:ascii="Times New Roman" w:cs="Times New Roman" w:eastAsia="Times New Roman" w:hAnsi="Times New Roman"/>
          <w:sz w:val="14"/>
          <w:szCs w:val="14"/>
          <w:color w:val="auto"/>
        </w:rPr>
      </w:pPr>
    </w:p>
    <w:p>
      <w:pPr>
        <w:ind w:left="340" w:right="20" w:hanging="332"/>
        <w:spacing w:after="0" w:line="283" w:lineRule="auto"/>
        <w:tabs>
          <w:tab w:leader="none" w:pos="33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term loan with a principal balance of $98.7 million as of June 30, 2025 and $101.3 million as of December 31, 2024 is secured by assets held by the Company and has a maturity date of January 2030.</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of the various loan agreements related to long-term bank borrowings require the Company to comply with certain financial covenants, including, but not limited to, a fixed charge coverage ratio and effective tangible net worth. As of June 30, 2025, the Company was in compliance with its covenants.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2022, the Company entered into the Third Amended Credit Agreement extending the Revolving Facility for five years, with a maturity date of March 31, 2027. The Third Amended Credit Agreement provides for a $100.0 million asset-secured revolving credit facility with a one-month SOFR plus a credit adjustment of 0.1% plus 1.375% per annum. On February 6, 2024, the Company amended the Third Amended Credit Agreement to (i) remove a cap on permitted indebtedness in respect of capital lease obligations, subject to certain enumerated conditions; (ii) create a reserve on the borrowing base, which will be reduced on a dollar-for-dollar basis once the Company has made expenditures in excess of such amount relating to the development and construction of certain real property, and which amounts shall be excluded from certain financial covenants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under the Third Amended Credit Agreement and; (iii) remove certain sublease income from various financial covenants. On July 15, 2024, the Company again amended the Third Amended Credit Agreement to (i) increase the issuing bank sublimit to $10.0 million and; (ii) modify the due date for a borrowing base certificate based on availability under the revolving credit facility.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12, 2025, the Company amended certain terms and conditions of the Third Amended Credit Agreement, by, among other things, (i) increasing the Revolving Commitment (as defined in the Credit Agreement) from $100.0 million to $125.0 million, (ii) joining three new subsidiaries of the Company to the Credit Agreement, each as a “Borrower” thereunder, (iii) joining Wells Fargo Bank, N.A. to the credit agreement as a “Lender” thereunder, (iv) amending certain affirmative covenants commensurate with the increase in the Revolving Facility, and (v) amending certain restrictions regarding incurring obligations under real property leases and equipment financings in the ordinary course of business.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Company was in compliance with its covenants. The outstanding principal balance on the line of credit as of June 30, 2025 was $60.8 million and outstanding letters of credit amounted to $6.4 million leaving access to approximately $57.8 million in additional funds through our $125.0 million line of credit, subject to a borrowing base calculation.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Earnings (Loss) Per Share</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computes earnings per share (“EPS”) in accordance with ASC Topic 260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ASC 260 requires companies with complex capital structures to present basic and diluted EPS. Basic EPS is measured as net (loss) income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1,305,105 and 1,354,908 potential common shares related to performance-based restricted stock units and restricted stock units that were excluded from the calculation of diluted EPS for the six months ended June 30, 2025 and 2024, respectively, because their effect could have been anti-dilutive.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30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76"/>
        </w:trPr>
        <w:tc>
          <w:tcPr>
            <w:tcW w:w="40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HF Foods Group</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52,969,037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52,585,715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52,853,982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52,370,842</w:t>
            </w:r>
          </w:p>
        </w:tc>
      </w:tr>
      <w:tr>
        <w:trPr>
          <w:trHeight w:val="23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dilutive shares outstanding</w:t>
            </w: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53,414,715</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52,661,119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52,853,982</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52,370,842</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4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of the Company’s overall effective income tax rate requires the use of estimates. The effective income tax rate reflects the income earned and taxed in U.S. federal and various state jurisdictions based on enacted tax law, permanent differences between book and tax items, tax credits and the Company’s change in relative income in each jurisdiction. Changes in tax laws and rates may affect recorded deferred tax assets and liabilities and the Company’s effective income tax rate in the future. As of June 30, 2025, the Company had one subsidiary outside the U.S. that generated an insignificant amount of activity. As such, no foreign income tax was recorded.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Company’s effective income tax rate of 50.5% and 28.7%, respectively, differed from the federal statutory tax rate primarily as a result of permanent differences and state income taxes, partially offset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by tax credits. The company’s tax provision for the three and six months ended June 30, 2025 includes a discrete tax expense of $500 related to stock-based compensation shortfalls. For the three and six months ended June 30, 2024, the Company’s effective income tax rate of 87.2% and 129.6%, respectively, differed from the federal statutory tax rate primarily as a result of discrete tax items, permanent differences and state income taxes. The Company’s tax provision for the three and six months ended June 30, 2024 included a discrete tax expense of $1.0 million related to the Company’s SEC settlement and $0.1 million tax expense related to stock-based compensation shortfalls. Absent the discrete items, the estimated annual effective income tax rate from continuing operations for the three and six months ended June 30, 2024 was 25.5% and 25.1%, respectively.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evaluating the impact of the new legislation but does not expect it to have a material impact on its consolidated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believes that Mr. Xiao Mou Zhang (“Mr. Zhang”), the former Chief Executive Officer through October 24, 2024, together with certain of his immediate family members are collectively beneficial owners of more than 10% of the Company’s outstanding common stock, and they have ownership interests in various related parties involved in (i) the distribution of food and related products to restaurants and other retailers and (ii) the supply of fresh food, frozen food, and packaging supplies to distributors. Mr. Zhang does not have any involvement in negotiations with any of the above-mentioned related parties.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Mr. Zhou Min Ni (“Mr. Ni”), the Company’s former Co-Chief Executive Officer, together with various trusts for the benefit of Mr. Ni’s four children, are collectively beneficial owners of more than 10% of the outstanding shares of the Company’s common stock, and he and certain of his immediate family members have ownership interests in related parties involved in (i) the distribution of food and related products to restaurants and other retailers and (ii) the supply of fresh food, frozen food, and packaging supplies to distributors.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related party transactions as of June 30, 2025 and December 31, 2024 and for the three and six months ended June 30, 2025, and 2024, are identified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Sales, Purchases, and Lease Agreements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w:t>
      </w:r>
    </w:p>
    <w:p>
      <w:pPr>
        <w:spacing w:after="0" w:line="2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Below is a summary of purchases of goods and services from related parties recorded for the three and six months ended June 30, 2025 and 2024, respectively: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0"/>
                <w:szCs w:val="20"/>
                <w:color w:val="auto"/>
              </w:rPr>
            </w:pPr>
          </w:p>
        </w:tc>
        <w:tc>
          <w:tcPr>
            <w:tcW w:w="25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00" w:type="dxa"/>
            <w:vAlign w:val="bottom"/>
          </w:tcPr>
          <w:p>
            <w:pPr>
              <w:spacing w:after="0"/>
              <w:rPr>
                <w:sz w:val="19"/>
                <w:szCs w:val="19"/>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Nature</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Asahi Food, Inc.</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Trade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175"/>
        </w:trPr>
        <w:tc>
          <w:tcPr>
            <w:tcW w:w="400" w:type="dxa"/>
            <w:vAlign w:val="bottom"/>
          </w:tcPr>
          <w:p>
            <w:pPr>
              <w:spacing w:after="0"/>
              <w:rPr>
                <w:sz w:val="15"/>
                <w:szCs w:val="15"/>
                <w:color w:val="auto"/>
              </w:rPr>
            </w:pPr>
          </w:p>
        </w:tc>
        <w:tc>
          <w:tcPr>
            <w:tcW w:w="39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Conexus Food Solutions LLC (formerly known as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Best Food Services, LLC)</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Trade</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Pacific Seafood Group, Inc.</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Trade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Rainfield Ranches, LP</w:t>
            </w:r>
          </w:p>
        </w:tc>
        <w:tc>
          <w:tcPr>
            <w:tcW w:w="10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Trade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8"/>
        </w:trPr>
        <w:tc>
          <w:tcPr>
            <w:tcW w:w="40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through its subsidiary Mountain Food, LLC, owns an equity interest in this entity.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Zhou Min Ni owns an equity interest in this entity.</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6"/>
        </w:trPr>
        <w:tc>
          <w:tcPr>
            <w:tcW w:w="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4"/>
              </w:rPr>
              <w:t>Sales</w:t>
            </w:r>
          </w:p>
        </w:tc>
        <w:tc>
          <w:tcPr>
            <w:tcW w:w="3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9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Below is a summary of sales to related parties recorded for the three months ended June 30, 2025 and 2024, respectively:</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9"/>
        </w:trPr>
        <w:tc>
          <w:tcPr>
            <w:tcW w:w="3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4"/>
                <w:szCs w:val="24"/>
                <w:color w:val="auto"/>
              </w:rPr>
            </w:pPr>
          </w:p>
        </w:tc>
        <w:tc>
          <w:tcPr>
            <w:tcW w:w="314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8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ABC Food Trading, LLC</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3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Asahi Food, Inc.</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175"/>
        </w:trPr>
        <w:tc>
          <w:tcPr>
            <w:tcW w:w="380" w:type="dxa"/>
            <w:vAlign w:val="bottom"/>
            <w:shd w:val="clear" w:color="auto" w:fill="CCEEFF"/>
          </w:tcPr>
          <w:p>
            <w:pPr>
              <w:spacing w:after="0"/>
              <w:rPr>
                <w:sz w:val="15"/>
                <w:szCs w:val="15"/>
                <w:color w:val="auto"/>
              </w:rPr>
            </w:pPr>
          </w:p>
        </w:tc>
        <w:tc>
          <w:tcPr>
            <w:tcW w:w="3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Conexus Food Solutions LLC (formerly known as</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Best Food Services, LLC)</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Choice Seafood, Inc.</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Fortune One Foods, Inc.</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Ocean Pacific Seafood Group, Inc.</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8"/>
        </w:trPr>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3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through its subsidiary Mountain Food, LLC, owns an equity interest in this entity.</w:t>
      </w:r>
    </w:p>
    <w:p>
      <w:pPr>
        <w:spacing w:after="0" w:line="1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Zhou Min Ni owns an equity interest in this entity indirectly through its parent company.</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Zhou Min Ni owns an equity interest in this entity.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various facilities to related parties.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2020, the Company renewed a warehouse lease from Yoan Chang Trading Inc. under an operating lease agreement which expired on December 31, 2020. In February 2021, the Company executed a new five-year operating lease agreement with Yoan Chang Trading Inc., effective January 1, 2021 and expiring on December 31, 2025. Rent expense, which is included in distribution, selling and administrative expenses in the condensed consolidated statements of operations and comprehensive income (loss), was $0.1 million for both the three months ended June 30, 2025 and 2024, and $0.2 million for both the six months ended June 30, 2025 and 2024.</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2014, the Company leased a warehouse to Asahi Food, Inc. under a commercial lease agreement which was rescinded March 1, 2020. A new commercial lease agreement for a period of one year was entered into, expiring February 28, 2021, with a total of four renewal periods with each term being one year. The lease term was extended by an addendum dated September 1, 2023, which extended the lease through September 1, 2025. Rental income was $36 thousand for both the three months ended June 30, 2025 and 2024, and $72 thousand for both the six months ended June 30, 2025 and 2024, which is included in other expense (income), net in the condensed consolidated statements of operations and comprehensive income (loss).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Balances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 Related Parties,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accounts receivable with related parties recorded as of June 30, 2025 and December 31, 2024, respectively: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0" w:type="dxa"/>
            <w:vAlign w:val="bottom"/>
          </w:tcPr>
          <w:p>
            <w:pPr>
              <w:spacing w:after="0"/>
              <w:rPr>
                <w:sz w:val="23"/>
                <w:szCs w:val="23"/>
                <w:color w:val="auto"/>
              </w:rPr>
            </w:pPr>
          </w:p>
        </w:tc>
        <w:tc>
          <w:tcPr>
            <w:tcW w:w="706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3"/>
                <w:szCs w:val="23"/>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23"/>
                <w:szCs w:val="23"/>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9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ABC Food Trading, LLC</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Asahi Food, Inc.</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7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Conexus Food Solutions LLC (formerly known as Best Food Services, LLC)</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0" w:type="dxa"/>
            <w:vAlign w:val="bottom"/>
          </w:tcPr>
          <w:p>
            <w:pPr>
              <w:spacing w:after="0"/>
              <w:rPr>
                <w:sz w:val="19"/>
                <w:szCs w:val="19"/>
                <w:color w:val="auto"/>
              </w:rPr>
            </w:pPr>
          </w:p>
        </w:tc>
        <w:tc>
          <w:tcPr>
            <w:tcW w:w="7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through its subsidiary Mountain Food, LLC, owns an equity interest in this entity.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All accounts receivable from these related parties are current and considered fully collectible. No additional allowance is deemed necessary as of June 30, 2025 and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 of Credit Note - Related Parties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a $51,000 line of credit note to Asahi Food, Inc. on November 1, 2024, which is outstanding at June 30, 2025 and included in other current assets in the consolidated balance sheet. Interest shall accrue at a rate of 7.25% per annum with monthly payments of interest only due beginning December 1, 2024 and continuing through the first day of each calendar month until the maturity date of October 31, 2025. Interest income was $924 and $2,157 for the three and six months ended June 30, 2025, which is included in other income, net in the condensed consolidated statements of operations and comprehensive income (loss).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 Related Parties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the accounts payable to related parties are payable upon demand without interest. Below is a summary of accounts payable with related parties recorded as of June 30, 2025 and December 31, 2024, respectively: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440" w:type="dxa"/>
            <w:vAlign w:val="bottom"/>
            <w:gridSpan w:val="2"/>
          </w:tcPr>
          <w:p>
            <w:pPr>
              <w:ind w:left="4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3"/>
                <w:szCs w:val="23"/>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23"/>
                <w:szCs w:val="23"/>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Conexus Food Solutions LLC (formerly known as Best Food Services, LLC)</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744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Others</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74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2021, the Company began issuing awards under the HF Foods Group Inc. 2018 Omnibus Equity Incentive Plan (the “2018 Incentive Plan”), which reserves up to 3,000,000 shares of the Company’s common stock for issuance of awards to employees and non-employee directors. On June 3, 2024, the Company’s shareholders approved an amendment to the 2018 Incentive Plan which increased the number of shares of the Company’s common stock available for issuance under the 2018 Incentive Plan to 7,000,000, an increase of 4,000,000 shares. As of June 30, 2025, the Company had 671,128 time-based vesting restricted stock units unvested, 1,077,464 performance-based restricted stock units unvested, 1,486,194 shares of common stock vested and 3,765,214 shares remaining available for future awards under the 2018 Incentive Plan.</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was $0.6 million and $0.5 million for the three months ended June 30, 2025 and 2024, respectively. Stock-based compensation expense was $1.0 million and $1.3 million for the six months ended June 30, 2025 and 2024, respectively. Stock-based compensation expense was included in distribution, selling and administrative expenses in the Company’s condensed consolidated statements of operations and comprehensive income (loss).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there was $4.8 million of total unrecognized compensation cost related to all non-vested outstanding RSUs and PSUs outstanding under the 2018 Incentive Plan, with a weighted average remaining service period of 2.25 years.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business consists of one operating segment, which is also its one reportable segment. The Company operates solely in the United States and derives revenues by providing sales of food and non-food to customers. The segment’s customer base consists primarily of Asian restaurants located throughout the United States. The Company’s chief operating decision maker (“CODM”) is its chief executive officer, who reviews financial information presented on a consolidated basis. The CODM uses consolidated net (loss) income to assess financial performance and allocate resources. The Company’s measure of segment assets is total assets, as reported on the condensed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597,996</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495,120</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Payroll and related labor costs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49,069</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expenses </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100,336</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guarantee income</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142"/>
        </w:trPr>
        <w:tc>
          <w:tcPr>
            <w:tcW w:w="520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6"/>
                <w:szCs w:val="16"/>
                <w:b w:val="1"/>
                <w:bCs w:val="1"/>
                <w:color w:val="auto"/>
              </w:rPr>
              <w:t>NET INCOME AND COMPREHENSIVE INCOME</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ATTRIBUTABLE TO HF FOODS GROUP INC.</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340" w:hanging="332"/>
        <w:spacing w:after="0" w:line="258" w:lineRule="auto"/>
        <w:tabs>
          <w:tab w:leader="none" w:pos="33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expenses include distribution, selling and administrative expenses which are not provided to the chief operating decision maker on a regular basis. These expenses include primarily auto &amp; truck expense, insurance, occupancy expense and utilities.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its pending litigation and revises its estimates when additional information becomes available. Adverse outcomes in some or all of these matters may result in significant monetary damages or injunctive relief against the Company that could adversely affect its ability to conduct business. There also exists the possibility of a material adverse effect on the Company’s financial statements for the period in which the effect of an unfavorable outcome becomes probable and reasonably estimable. Legal costs associated with loss contingencies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AnHeart Lease Guarantee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provided a guarantee for two separate leases for two properties located in Manhattan, New York, at 273 Fifth Avenue and 275 Fifth Avenue, for 30 years and 15 years, respectively. The Company previously determined that AnHeart was a VIE as a result of the guarantees. However, the Company concluded it was not the primary beneficiary of AnHeart and therefore did not consolidate, because it did not have the power to direct the activities of AnHeart that most significantly impact AnHeart’s economic performance.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10, 2021, the Company entered into an Assignment and Assumption of Lease Agreement (“Assignment”), dated effective as of January 21, 2021, with AnHeart and Premier 273 Fifth, LLC, pursuant to which it assumed the lease of the premises at 273 Fifth Avenue (the “273 Lease Agreement”). At the same time, the closing documents were delivered to effectuate the amendment of the 273 Lease Agreement pursuant to an Amendment to Lease (the “Lease Amendment”). The Assignment and the Lease Amendment were negotiated in light of the Company’s guarantee obligations as guarantor under the 273 Lease Agreement. The Company agreed to observe all the covenants and conditions of the 273 Lease Agreement, as amended, including the payment of all rents due. Under the terms of the 273 Lease Agreement and the Assignment, the Company has undertaken to construct, at its own expense, a building on the premises at a minimum cost of $2.5 million. The Lease Amendment permits subletting of the premises, and the Company intends to sublease the newly constructed premises to defray the rental expense undertaken pursuant to its guaranty obligations. In March 2024, the Company began construction of a multi-use facility on 273 Fifth Avenue and committed $7.0 million for the completion of the construction project. The Company has incurred $7.2 million in construction costs which was recorded in construction in progress within property and equipment, net in the Company’s condensed consolidated balance sheet as of June 30, 2025. The Company completed construction as of June 2025 and is currently waiting for final approval on its certificate of occupancy for the building.</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17, 2022, the Company received notice that AnHeart had defaulted on its obligations as tenant under the lease for 275 Fifth Avenue. On February 7, 2022, the Company undertook its guaranty obligations by assuming responsibility for payment of monthly rent and other tenant obligations, including past due rent as well as property tax obligations beginning with the January 2022 rent due. As a result, during the year ended December 31, 2022, the Company recorded a lease guarantee liability of $5.9 million. On February 25, 2022, the Company instituted a legal action to pursue legal remedies against AnHeart and Minsheng. In March 2022, the Company agreed to stay that litigation against AnHeart in exchange for AnHeart’s payment of certain back rent from January to April 2022 and its continued partial payment of monthly rent. AnHeart subsequently defaulted on these obligations. On October 25, 2023, the Company commenced a new legal action by filing a complaint in New York County Supreme Court to pursue legal remedies against AnHeart and Minsheng (the “2023 Action”). As of the filing of the new summons and complaint, AnHeart and Minsheng are indebted to the Company in the amount of $474,000. AnHeart and the Company have since reached a settlement agreement (the “Settlement Agreement”) for AnHeart to pay the Company $40,000 a month in rent through December 2024, $46,750 a month in rent from January 2025 through December 2025, and commence regular monthly rental payments in accordance with the lease for 275 Fifth Avenue. The Settlement Agreement also provides that AnHeart will pay twenty-four monthly installments of $11,250 from January 2025 through December 2026 as payment for all back rent due. Effective April 30, 2024, the Company through its subsidiary assumed the lease of a building located on the premises of 275 Fifth Avenue. The assumption of the lease had no impact on the Company’s obligations as guarantor. The lease covers certain portions of the ground floor, lower level, and second floor of the building. The lease term ends on April 30, 2034 and is renewable at the option of the Company for up to two additional five-year terms. The Company shall pay rent of approximately $45,000 per month with provisions for yearly increases. With the assumption of the lease for 275 Fifth Avenue, the Company no longer recognized AnHeart as a VIE. In addition, the remaining lease guarantee liability of $5.4 million was reversed and an operating lease right-of-use asset and liability of $4.9 million was recorded to the consolidated balance sheet. As a result of the reversal, a gain of $5.4 million was recorded to other expense (income), net on the consolidated statements of operations and comprehensive income (loss) in the second quarter of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30, 2024, the Company entered into an operating lease of a new distribution center located in Georgia. The lease term commenced February 1, 2025 for a period of 10 years and five months and is renewable at the option of the Company for up to three additional five-year terms. The Company is reasonably likely to exercise the first of the three five-year renewal options due to the investment the Company is making to the leased property infrastructure. The Company shall pay rent of approximately $120,000 per month with provisions for yearly increases totaling $29.0 million in future minimum lease payments over 15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current portion and non-current portion of obligations under all operating leases was $4.3 million and $24.9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additional automobile leases that had not yet commenced which total $0.8 million in future minimum lease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5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No subsequent events have occurred that would require recognition in the unaudited condensed consolidated financial statements or disclosure in the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for HF Foods Group Inc. (“HF Foods”, the “Company,” “we,” “us,” or “our”) contains forward-looking statements. Forward-looking statements include statements about our expectations, beliefs, plans, objectives, intentions, assumptions and other statements that are not historical facts. Words or phrases such as “anticipate,” “believe,” “continue,” “could,” “estimate,” “expect,” “intend,” “may,” “might,”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Factors that could cause or contribute to such differences include those discussed in this Quarterly Report on Form 10-Q, and in particular, the risks discussed under the caption “Risk Factors” in Item 1A and those discussed in other documents we file with the Securities and Exchange Commission (the “SEC”).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Except as otherwise required by law, we undertake no obligation to update or revise any forward-looking statement as a result of new information, future events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market and distribute Asian specialty food products, seafood, fresh produce, frozen and dry food, and non-food products primarily to Asian restaurants and other foodservice customers throughout the United States. HF Foods was formed through a merger between two complementary market leaders, HF Foods Group Inc. and B&amp;R Global. In 2022, HF Foods acquired two frozen seafood suppliers, expanding its distribution network in Illinois, Texas and along the eastern seaboard, from Massachusetts to Florida, as well as Pennsylvania, West Virginia, Ohio, Kentucky, and Tennessee.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aim to supply the increasing demand for Asian American restaurant cuisine, leveraging our nationwide network of distribution centers and our strong relations with growers and suppliers of fresh, high-quality specialty restaurant food products and supplies primarily in North America, South America and Asia. Capitalizing on our deep understanding of the Asian culture, we have become a trusted partner serving Asian restaurants and other foodservice customers throughout the United States. We are dedicated to serving the vast array of Asian restaurants in need of high-quality and specialized food ingredients at competitive prices.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Transformation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position the business for long-term success, we have initiated a comprehensive, operational transformation plan in an effort to drive growth and cost savings. Our transformation is focused on four key areas, each of which we expect will positively impact future growth or cost savings. The components of our transformation are as follows:</w:t>
      </w:r>
    </w:p>
    <w:p>
      <w:pPr>
        <w:spacing w:after="0" w:line="172" w:lineRule="exact"/>
        <w:rPr>
          <w:sz w:val="20"/>
          <w:szCs w:val="20"/>
          <w:color w:val="auto"/>
        </w:rPr>
      </w:pPr>
    </w:p>
    <w:p>
      <w:pPr>
        <w:ind w:left="66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Centralized Purchasing: </w:t>
      </w:r>
      <w:r>
        <w:rPr>
          <w:rFonts w:ascii="Times New Roman" w:cs="Times New Roman" w:eastAsia="Times New Roman" w:hAnsi="Times New Roman"/>
          <w:sz w:val="18"/>
          <w:szCs w:val="18"/>
          <w:color w:val="auto"/>
        </w:rPr>
        <w:t>We began the roll out of our centralized purchasing program with seafood and poultry products and have yielded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positive results with respect to margin expansion for the product category. We are now focusing on expanding the program to other categories.</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Fleet and Transportation: </w:t>
      </w:r>
      <w:r>
        <w:rPr>
          <w:rFonts w:ascii="Times New Roman" w:cs="Times New Roman" w:eastAsia="Times New Roman" w:hAnsi="Times New Roman"/>
          <w:sz w:val="18"/>
          <w:szCs w:val="18"/>
          <w:color w:val="auto"/>
        </w:rPr>
        <w:t>We have established a national fleet maintenance program. Within this, we have defined new truck specifications,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initiated a replacement program for 50% of our current fleet, implemented a national fuel savings program to maximize efficiency, and plan to outsource domestic inbound freight logistics to a third-party partner to adopt a cohesive national approach to our supply chain. This is expected to deliver substantial improvements to our transportation system.</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Transformation: </w:t>
      </w:r>
      <w:r>
        <w:rPr>
          <w:rFonts w:ascii="Times New Roman" w:cs="Times New Roman" w:eastAsia="Times New Roman" w:hAnsi="Times New Roman"/>
          <w:sz w:val="18"/>
          <w:szCs w:val="18"/>
          <w:color w:val="auto"/>
        </w:rPr>
        <w:t>We have completed the implementation of a modern ERP solution across all of our distribution centers.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expects this solution to deliver enhanced operational efficiency and responsiveness, streamlined processes, and greater data driven decision-making.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ind w:left="66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Facility Upgrades: </w:t>
      </w:r>
      <w:r>
        <w:rPr>
          <w:rFonts w:ascii="Times New Roman" w:cs="Times New Roman" w:eastAsia="Times New Roman" w:hAnsi="Times New Roman"/>
          <w:sz w:val="18"/>
          <w:szCs w:val="18"/>
          <w:color w:val="auto"/>
        </w:rPr>
        <w:t>We are reorganizing and upgrading some of our facilities and distribution centers to efficiently streamline costs,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 on cross-selling opportunities with both new and existing customers.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4"/>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314,853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302,342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613,281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597,996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15,285</w:t>
            </w: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non-GAAP financial measures, EBITDA and Adjusted EBITDA, see the section entitled “EBITDA and Adjusted EBITDA”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to Assess HF Foods’ Performance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5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condensed consolidated financial statements included elsewhere in this report, and such information is not meant to replace or supersede GAAP measures.</w:t>
      </w:r>
    </w:p>
    <w:p>
      <w:pPr>
        <w:spacing w:after="0" w:line="21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Management uses EBITDA to measure operating performance, defined as net income before interest expense, interest income,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3" w:name="page24"/>
    <w:bookmarkEnd w:id="23"/>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Foods’ results as reported under GAAP. For example, Adjusted EBITDA:</w:t>
      </w:r>
    </w:p>
    <w:p>
      <w:pPr>
        <w:spacing w:after="0" w:line="176" w:lineRule="exact"/>
        <w:rPr>
          <w:sz w:val="20"/>
          <w:szCs w:val="20"/>
          <w:color w:val="auto"/>
        </w:rPr>
      </w:pPr>
    </w:p>
    <w:p>
      <w:pPr>
        <w:ind w:left="1300" w:hanging="482"/>
        <w:spacing w:after="0"/>
        <w:tabs>
          <w:tab w:leader="none" w:pos="1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excludes certain tax payments that may represent a reduction in cash available;</w:t>
      </w:r>
    </w:p>
    <w:p>
      <w:pPr>
        <w:spacing w:after="0" w:line="117" w:lineRule="exact"/>
        <w:rPr>
          <w:rFonts w:ascii="Times New Roman" w:cs="Times New Roman" w:eastAsia="Times New Roman" w:hAnsi="Times New Roman"/>
          <w:sz w:val="18"/>
          <w:szCs w:val="18"/>
          <w:b w:val="1"/>
          <w:bCs w:val="1"/>
          <w:color w:val="auto"/>
        </w:rPr>
      </w:pPr>
    </w:p>
    <w:p>
      <w:pPr>
        <w:ind w:left="1300" w:right="20" w:hanging="482"/>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any cash capital expenditure requirements for the assets being depreciated and amortized that may have to be replaced in the future;</w:t>
      </w:r>
    </w:p>
    <w:p>
      <w:pPr>
        <w:spacing w:after="0" w:line="53"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changes in, or cash requirements for, our working capital needs; and</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significant interest expense, or the cash requirements, necessary to service our debt.</w:t>
      </w:r>
    </w:p>
    <w:p>
      <w:pPr>
        <w:spacing w:after="0" w:line="25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additional information on EBITDA and Adjusted EBITDA and a reconciliation to their most directly comparable U.S. GAAP financial measures, see “</w:t>
      </w:r>
      <w:r>
        <w:rPr>
          <w:rFonts w:ascii="Times New Roman" w:cs="Times New Roman" w:eastAsia="Times New Roman" w:hAnsi="Times New Roman"/>
          <w:sz w:val="18"/>
          <w:szCs w:val="18"/>
          <w:i w:val="1"/>
          <w:iCs w:val="1"/>
          <w:color w:val="auto"/>
        </w:rPr>
        <w:t>Results of Operations — EBITDA and Adjusted EBITDA</w:t>
      </w:r>
      <w:r>
        <w:rPr>
          <w:rFonts w:ascii="Times New Roman" w:cs="Times New Roman" w:eastAsia="Times New Roman" w:hAnsi="Times New Roman"/>
          <w:sz w:val="18"/>
          <w:szCs w:val="18"/>
          <w:color w:val="auto"/>
        </w:rPr>
        <w:t>”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June 30, 2025 to Three Months Ended June 30, 2024</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three months ended June 30, 2025 and 2024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historical results presented below are not necessarily indicative of the results that may be expected for any future period.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3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314,853</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302,342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12,511</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259,721</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249,877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9,844</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55,132</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1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51,013</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7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r>
      <w:tr>
        <w:trPr>
          <w:trHeight w:val="27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1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1,046</w:t>
            </w: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income</w:t>
            </w:r>
          </w:p>
        </w:tc>
        <w:tc>
          <w:tcPr>
            <w:tcW w:w="1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5,433</w:t>
            </w: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(803)</w:t>
            </w: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6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1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 attributable to HF Foods Group Inc.</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0"/>
        </w:trPr>
        <w:tc>
          <w:tcPr>
            <w:tcW w:w="6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consolidated results of operations expressed as a percentage of net revenue for the periods indicated:</w:t>
      </w:r>
    </w:p>
    <w:p>
      <w:pPr>
        <w:spacing w:after="0" w:line="5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36830</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20" w:type="dxa"/>
            <w:vAlign w:val="bottom"/>
            <w:gridSpan w:val="2"/>
          </w:tcPr>
          <w:p>
            <w:pPr>
              <w:ind w:left="79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00" w:type="dxa"/>
            <w:vAlign w:val="bottom"/>
            <w:tcBorders>
              <w:bottom w:val="single" w:sz="8" w:color="CCEEFF"/>
            </w:tcBorders>
          </w:tcPr>
          <w:p>
            <w:pPr>
              <w:spacing w:after="0"/>
              <w:rPr>
                <w:sz w:val="23"/>
                <w:szCs w:val="2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82.6 %</w:t>
            </w:r>
          </w:p>
        </w:tc>
      </w:tr>
      <w:tr>
        <w:trPr>
          <w:trHeight w:val="24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7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1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Borders>
              <w:bottom w:val="single" w:sz="8" w:color="CCEEFF"/>
            </w:tcBorders>
          </w:tcPr>
          <w:p>
            <w:pPr>
              <w:spacing w:after="0"/>
              <w:rPr>
                <w:sz w:val="23"/>
                <w:szCs w:val="2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4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7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7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income</w:t>
            </w:r>
          </w:p>
        </w:tc>
        <w:tc>
          <w:tcPr>
            <w:tcW w:w="1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7"/>
        </w:trPr>
        <w:tc>
          <w:tcPr>
            <w:tcW w:w="7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7"/>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7"/>
        </w:trPr>
        <w:tc>
          <w:tcPr>
            <w:tcW w:w="7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1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6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 attributable to HF Foods Group Inc.</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7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 for the three months ended June 30, 2025 increased by $12.5 million, or 4.1%, compared to the same period in 2024. The increase was primarily attributable to volume increases and improved pricing in Meat &amp; Poultry and Seafood, offset by a slight decrease in volume within other categories.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$55.1 million for three months ended June 30, 2025 compared to $52.5 million in the same period in 2024, an increase of $2.7 million, or 5.1%. The increase was primarily attributable to an increase in volume and improved pricing in Meat &amp; Poultry and Seafood during the quarter. Gross profit margin for the three months ended June 30, 2025 of 17.5% remained consistent compared to 17.4% in the same period in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Distribution, selling and administrative expenses increased by $1.2 million, or 2.4%, to $51.0 million, for the three months ended June 30, 2025. Distribution, selling and administrative expenses as a percentage of net revenue decreased to 16.2% for the three months ended June 30, 2025 from 16.5% in the same period in 2024, primarily due to increased net revenue and lower professional fees, partially offset by increased payroll, rental and other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expense for the three months ended June 30, 2025 of $2.8 million decreased slightly compared to $3.1 million for the three months ended June 30, 2024. Average floating interest rates on our floating-rate debt for the three months ended June 30, 2025 decreased by approximately 1.0% on our line of credit and 1.0% on the JPMorgan Chase mortgage-secured term loan, compared to the same period in 2024. Our average daily line of credit balance increased by $2.8 million, or 4.9%, to $53.6 million for the three months ended June 30, 2025 from $56.4 million for the three months ended June 30, 2024, and our average daily JPMorgan Chase mortgage-secured term loan balance decreased by $5 million, or 4.9%, to $99.2 million for the three months ended June 30, 2025 from $104.2 million for the three months ended June 30,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was $521 thousand for the three months ended June 30, 2025, compared to an income tax expense of $1.6 million for the three months ended June 30, 2024, primarily due to discrete tax expense items related to the SEC settlement and stock-based compensation shortfalls that impacted the tax provision for the period ended June 30, 2024.</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HF Foods Group, Inc.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attributable to HF Foods Group, Inc. was $1.2 million for the three months ended June 30, 2025, compared to net income of $17.0 thousand for the three months ended June 30, 2024. The improvement was primarily driven by an increase in income from operations of $1.5 million compared to the prior year period; however, the prior year’s results included a one time gain from lease guarantee income offset by an SEC settlement, which did not recur in the current year, thereby partially offsetting the year-over-year improvement.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EBITDA and Adjusted EBITDA to the most directly comparable GAAP measure: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2,775</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r>
      <w:tr>
        <w:trPr>
          <w:trHeight w:val="27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(1,078)</w:t>
            </w:r>
          </w:p>
        </w:tc>
      </w:tr>
      <w:tr>
        <w:trPr>
          <w:trHeight w:val="27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7,261</w:t>
            </w:r>
          </w:p>
        </w:tc>
        <w:tc>
          <w:tcPr>
            <w:tcW w:w="1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671</w:t>
            </w:r>
          </w:p>
        </w:tc>
      </w:tr>
      <w:tr>
        <w:trPr>
          <w:trHeight w:val="25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11,067</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guarantee income</w:t>
            </w:r>
          </w:p>
        </w:tc>
        <w:tc>
          <w:tcPr>
            <w:tcW w:w="38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(5,433)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5,433</w:t>
            </w:r>
          </w:p>
        </w:tc>
      </w:tr>
      <w:tr>
        <w:trPr>
          <w:trHeight w:val="27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1,046</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r>
        <w:trPr>
          <w:trHeight w:val="27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settlement</w:t>
            </w:r>
          </w:p>
        </w:tc>
        <w:tc>
          <w:tcPr>
            <w:tcW w:w="38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(3,900)</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Business transformation costs </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r>
      <w:tr>
        <w:trPr>
          <w:trHeight w:val="27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non-routine expense </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Executive transition and organizational redesign </w:t>
            </w:r>
            <w:r>
              <w:rPr>
                <w:rFonts w:ascii="Times New Roman" w:cs="Times New Roman" w:eastAsia="Times New Roman" w:hAnsi="Times New Roman"/>
                <w:sz w:val="23"/>
                <w:szCs w:val="23"/>
                <w:color w:val="auto"/>
                <w:vertAlign w:val="superscript"/>
              </w:rPr>
              <w:t>(3)</w:t>
            </w:r>
          </w:p>
        </w:tc>
        <w:tc>
          <w:tcPr>
            <w:tcW w:w="38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r>
      <w:tr>
        <w:trPr>
          <w:trHeight w:val="288"/>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13,845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3,284</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the launch and continued implementation of strategic projects including supply chain management improvements and technology infrastructure initiatives.</w:t>
      </w:r>
    </w:p>
    <w:p>
      <w:pPr>
        <w:spacing w:after="0" w:line="9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contested proxy and related legal and consulting costs and facility closure costs.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severance and related expenses for the Company’s transition of executive officers and organizational redesign.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June 30, 2025 to Six Months Ended June 30, 2024</w:t>
      </w:r>
    </w:p>
    <w:p>
      <w:pPr>
        <w:spacing w:after="0" w:line="12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six months ended June 30, 2025 and 2024. The historical results presented below are not necessarily indicative of the results that may be expected for any future 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613,281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597,996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15,285</w:t>
            </w:r>
          </w:p>
        </w:tc>
      </w:tr>
      <w:tr>
        <w:trPr>
          <w:trHeight w:val="27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507,190</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495,120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w:t>
            </w:r>
          </w:p>
        </w:tc>
      </w:tr>
      <w:tr>
        <w:trPr>
          <w:trHeight w:val="26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106,091</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102,876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r>
      <w:tr>
        <w:trPr>
          <w:trHeight w:val="27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100,818</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100,336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6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7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7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r>
      <w:tr>
        <w:trPr>
          <w:trHeight w:val="27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r>
      <w:tr>
        <w:trPr>
          <w:trHeight w:val="27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income</w:t>
            </w:r>
          </w:p>
        </w:tc>
        <w:tc>
          <w:tcPr>
            <w:tcW w:w="10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r>
      <w:tr>
        <w:trPr>
          <w:trHeight w:val="26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w:t>
            </w:r>
          </w:p>
        </w:tc>
      </w:tr>
      <w:tr>
        <w:trPr>
          <w:trHeight w:val="27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6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7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6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 attributable to HF Foods Group Inc.</w:t>
            </w: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1"/>
        </w:trPr>
        <w:tc>
          <w:tcPr>
            <w:tcW w:w="6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consolidated results of operations expressed as a percentage of net revenue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80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0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82.7 %</w:t>
            </w:r>
          </w:p>
        </w:tc>
        <w:tc>
          <w:tcPr>
            <w:tcW w:w="12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82.8 %</w:t>
            </w: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7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income</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7"/>
        </w:trPr>
        <w:tc>
          <w:tcPr>
            <w:tcW w:w="8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6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 attributable to HF Foods Group Inc.</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80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 for the six months ended June 30, 2025 increased by $15.3 million, or 2.6%, compared to the same period in 2024. This increase was primarily attributable to volume growth and improved pricing in Commodity, Meat &amp; Poultry and Seafood, partially offset by decrease in volume within other categories.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$106.1 million for the six months ended June 30, 2025 compared to $102.9 million in the same period in 2024, an increase of $3.2 million, or 3.1%. The gross profit increase was primarily attributable to increased net revenue partially offset by increased costs. Gross profit margin for the six months ended June 30, 2025 slightly increased to 17.3% compared to 17.2% in the same period in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Distribution, selling and administrative expenses of $100.8 million for the six months ended June 30, 2025 slightly increased compared to prior year expenses of $100.3 million primarily due to an increase in payroll and related labor costs, partially offset by a decrease in professional fees. Distribution, selling and administrative expenses as a percentage of net revenue decreased to 16.4% for the six months ended June 30, 2025 from 16.8% in the same period in 2024, primarily due to lower professional fees and increased net revenue, partially offset by increased payroll and related labor costs and insurance costs.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expense for the six months ended June 30, 2025 decreased by $0.5 million or 8.9%, compared to the six months ended June 30, 2024, primarily due to a decrease in our average daily JPMorgan Chase mortgage-secured term loan balance of $5.1 million, partially offset by an increase in our average daily line of credit balance of $0.6 million combined with a slightly lower interest-rate environment. Average floating interest rates on our floating-rate debt for the six months ended June 30, 2025 decreased by approximately 1.0% on the line of credit and 1.0% on the JPMorgan Chase mortgage-secured term loan, compared to the same period in 2024. Our average daily line of credit balance increased by $0.6 million, or 1.2%, to $51.2 million for the six months ended June 30, 2025 from $50.6 million for the six months ended June 30, 2024, and our average daily JPMorgan Chase mortgage-secured term loan balance decreased by $5.1 million, or 4.9%, to $99.8 million for the six months ended June 30, 2025 from $104.9 million for the six months ended June 30,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benefit was $411 thousand for the six months ended June 30, 2025, compared to and income tax expense of $1.4 million for the six months ended June 30, 2024. The change was primarily driven by an increase in loss before income taxes in the current period, as well as discrete items related to the SEC settlement and stock-based compensation shortfalls that impacted the tax provision for the period ended June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HF Foods Group, Inc.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attributable to HF Foods Group Inc. was $0.4 million for the six months ended June 30, 2025, compared to net loss of $0.7 million for the six months ended June 30, 2024. The improvement of $0.2 million was primarily driven by an increase in income from operations of $2.7 million compared to the prior year period; however, the prior year’s results included a one time gain from lease guarantee income offset by an SEC settlement, which did not recur in the current year, thereby partially offsetting the year-over-year improvement.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9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reconciles EBITDA and Adjusted EBITDA to the most directly comparable GAAP measure: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6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
        </w:trPr>
        <w:tc>
          <w:tcPr>
            <w:tcW w:w="6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(696)</w:t>
            </w:r>
          </w:p>
        </w:tc>
      </w:tr>
      <w:tr>
        <w:trPr>
          <w:trHeight w:val="270"/>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5,384</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r>
      <w:tr>
        <w:trPr>
          <w:trHeight w:val="270"/>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(1,829)</w:t>
            </w:r>
          </w:p>
        </w:tc>
      </w:tr>
      <w:tr>
        <w:trPr>
          <w:trHeight w:val="270"/>
        </w:trPr>
        <w:tc>
          <w:tcPr>
            <w:tcW w:w="6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14,019</w:t>
            </w: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13,266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r>
      <w:tr>
        <w:trPr>
          <w:trHeight w:val="25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17,972</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(2,341)</w:t>
            </w:r>
          </w:p>
        </w:tc>
      </w:tr>
      <w:tr>
        <w:trPr>
          <w:trHeight w:val="270"/>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guarantee income</w:t>
            </w:r>
          </w:p>
        </w:tc>
        <w:tc>
          <w:tcPr>
            <w:tcW w:w="400" w:type="dxa"/>
            <w:vAlign w:val="bottom"/>
          </w:tcPr>
          <w:p>
            <w:pPr>
              <w:spacing w:after="0"/>
              <w:rPr>
                <w:sz w:val="23"/>
                <w:szCs w:val="23"/>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(5,548)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5,548</w:t>
            </w:r>
          </w:p>
        </w:tc>
      </w:tr>
      <w:tr>
        <w:trPr>
          <w:trHeight w:val="270"/>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(2,331)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4,200</w:t>
            </w:r>
          </w:p>
        </w:tc>
      </w:tr>
      <w:tr>
        <w:trPr>
          <w:trHeight w:val="270"/>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r>
      <w:tr>
        <w:trPr>
          <w:trHeight w:val="270"/>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 settlement</w:t>
            </w:r>
          </w:p>
        </w:tc>
        <w:tc>
          <w:tcPr>
            <w:tcW w:w="40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(3,900)</w:t>
            </w:r>
          </w:p>
        </w:tc>
      </w:tr>
      <w:tr>
        <w:trPr>
          <w:trHeight w:val="270"/>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Business transformation costs </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r>
      <w:tr>
        <w:trPr>
          <w:trHeight w:val="270"/>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Other non-routine expense </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r>
      <w:tr>
        <w:trPr>
          <w:trHeight w:val="270"/>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Executive transition and organizational redesign </w:t>
            </w:r>
            <w:r>
              <w:rPr>
                <w:rFonts w:ascii="Times New Roman" w:cs="Times New Roman" w:eastAsia="Times New Roman" w:hAnsi="Times New Roman"/>
                <w:sz w:val="23"/>
                <w:szCs w:val="23"/>
                <w:color w:val="auto"/>
                <w:vertAlign w:val="superscript"/>
              </w:rPr>
              <w:t>(3)</w:t>
            </w:r>
          </w:p>
        </w:tc>
        <w:tc>
          <w:tcPr>
            <w:tcW w:w="40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1,802</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1,802</w:t>
            </w:r>
          </w:p>
        </w:tc>
      </w:tr>
      <w:tr>
        <w:trPr>
          <w:trHeight w:val="288"/>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23,618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19,263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3"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the launch and continued implementation of strategic projects including supply chain management improvements and technology infrastructure initiatives.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contested proxy and related legal and consulting costs and facility closure costs.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severance and related expenses for the Company’s transition of executive officers and organizational redesign.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we had cash of approximately $15.7 million, checks issued not presented for payment of $7.0 million and access to approximately $57.8 million in additional funds through our $125.0 million line of credit, subject to a borrowing base calculation. We have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flow generated from operations is sufficient to meet our normal working capital needs for at least the next twelve months. However, our ability to repay our current obligations will depend on the future realization of our current assets. Management has considered the historical experience, the economy, the trends in the foodservice distribution industry to determine the expected collectability of accounts receivable and the realization of inventories as of June 30,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an amortizing interest rate swap contract with JPMorgan Chase for an initial notional amount of $120.0 million, expiring in March 2028, as a means to partially hedge our existing floating rate loans exposure. Pursuant to the agreement, we will pay the swap counterparty a fixed rate of 4.11% in exchange for floating payments based on CME Term SOFR.</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to meet our working capital requirements and debt obligations in the next twelve months. However, there are a number of factors that could potentially arise which might result in shortfalls in anticipated cash flow, such as the demand for our products, economic conditions,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capital investment plans, liquidating assets, obtaining additional debt or equity capital, or refinancing all or a portion of our debt.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we have no off-balance sheet arrangements that currently have or are reasonably likely to have a material effect on our consolidated financial position, changes in financial condition, results of operations, liquidity, capital expenditures or capital resources.</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The following table summarizes cash flow data for the three months ended June 30, 2025 and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r>
      <w:tr>
        <w:trPr>
          <w:trHeight w:val="27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7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3,126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w:t>
            </w:r>
          </w:p>
        </w:tc>
      </w:tr>
      <w:tr>
        <w:trPr>
          <w:trHeight w:val="26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(1,264)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w:t>
            </w:r>
          </w:p>
        </w:tc>
      </w:tr>
      <w:tr>
        <w:trPr>
          <w:trHeight w:val="20"/>
        </w:trPr>
        <w:tc>
          <w:tcPr>
            <w:tcW w:w="6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income adjusted for non-cash items, including depreciation and amortization, changes in deferred income taxes and others, and includes the effect of working capital changes. Net cash provided by operating activities increased by $8.5 million primarily due to an increase in non-cash expense add-backs, offset by the timing of working capital outlays mainly for inventory purchases to counter potential tariff increases.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increased by $0.3 million primarily due to increased capital project spend in the six months ended June 30,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decreased by $5.8 million to $2.7 million during the six months ended June 30, 2025 primarily due to the lower overall net proceeds from line of credit activity for the six months ended June 30, 2025 as compared the six months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prepared the financial information in this Quarterly Report in accordance with GAAP. Preparing our condensed consolidated financial statements requires us to make estimates and assumptions that affect the reported amounts of assets and liabilities, the disclosure of contingent assets and liabilities at the date of the financial statements, and the reported amounts of revenues and expenses during these reporting periods. We base our estimates and judgments on historical experience and other factors we believe are reasonable under the circumstances. These assumptions form the basis for making judgments about the carrying value of assets and liabilities that are not readily apparent from other sources. Part II, Item 7 — “Management’s Discussion and Analysis of Financial Condition and Results of Operations” of the 2024 Annual Report on Form 10-K includes a summary of the critical accounting policies and estimates we believe are the most important to aid in understanding our financial results. There have been no changes to those critical accounting policies and estimates that have had a material impact on our reported amounts of assets, liabilities, revenue, or expenses during the six months ended June 30, 2025.</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continued declines in the level of stock price, the Company performed a quantitative goodwill impairment assessment as of December 31, 2024. The results of the testing as of December 31, 2024, concluded that the estimated fair value of the reporting unit fell short of carrying value, and therefore impairment existed as of that date. A goodwill impairment charge of $46.3 million was recorded during the fourth quarter of the year ended December 31, 2024.</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December 31, 2024 impairment test, we used a combination of discounted cash flow (“DCF”) model and market approaches, such as public company comparable analysis and comparable acquisitions analysis to determine fair value of the reporting unit. The income approach and market approaches were weighted equally to estimate fair value. The income approach requires detailed forecasts of cash flows, including significant assumptions such as revenue growth rates, gross profit margins, distribution, selling and administrative expenses, among other assumptions, and an estimate of weighted-average cost of capital which we believe approximate the assumptions from a market participant’s perspective. The market approaches are primarily impacted by an enterprise value multiple of EBITDA. These estimates incorporate many uncertain factors which could be impacted by changes in market conditions, interest rates, growth rate, tax rates, costs, customer behavior, regulatory environment and other macroeconomic changes. In addition, we considered the reasonableness of the fair value of the reporting unit by assessing the implied enterprise value control premium based on our market capitalization and also considered the lack of liquidity in the Company’s common stock. The Company’s common stock is fairly thinly traded, with a higher level of internal stockholders than its peers, and no major analyst coverage. As a result, the implied value from the traded stock price is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based on limited investment public interest. Our market capitalization is calculated using the number of common shares outstanding and common stock publicly traded price. We determined that the implied control premium was reasonable which corroborates our fair value estimates. We categorize the fair value determination as Level 3 in the fair value hierarchy due to its use of internal projections and unobservable measurement inputs.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 by utilizing changes in assumptions that would reasonably likely occur. Assuming all other assumptions and inputs used in the fair value analysis are held constant, for the December 31, 2024 impairment test, a 100 basis point increase in the discount rate assumption, a 1x decrease in the respective EBITDA multiple assumptions, a 25 basis point decrease in the gross profit margin assumption, and a 50 basis point decrease in the revenue growth rate assumption would result in a decrease in the fair value of our reporting unit of approximately $11.6 million, $31.0 million, $7.3 million, and $5.5 million, respectively, which would likely result in further impairment. These estimated changes in fair value are not necessarily representative of the actual impairment that would be recorded in the event of a fair value decline.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in future periods, the financial performance of the reporting unit does not meet forecasted expectations, or a prolonged decline occurs in the market price of our common stock, it may cause a change in the results of the impairment assessment and, as such, could result in further impairment of goodwill.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there were no events or circumstances during the six months ended June 30, 2025 that would more likely than not reduce the fair value of the reporting unit below its carrying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 accounting pronouncements, 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the condensed consolidated financial statements in this Quarterly Report on Form 10-Q.</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four interest rate swap contracts to hedge the floating rate term loans. See </w:t>
      </w:r>
      <w:r>
        <w:rPr>
          <w:rFonts w:ascii="Times New Roman" w:cs="Times New Roman" w:eastAsia="Times New Roman" w:hAnsi="Times New Roman"/>
          <w:sz w:val="18"/>
          <w:szCs w:val="18"/>
          <w:i w:val="1"/>
          <w:iCs w:val="1"/>
          <w:color w:val="auto"/>
        </w:rPr>
        <w:t>Note 7 -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to the condensed consolidated financial statements in this Quarterly Report on Form 10-Q for additional information.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June 30, 2025, our aggregate floating rate debt’s outstanding principal balance without hedging was $62.9 million, or 37.7% of total debt, consisting primarily of our revolving line of credit (see </w:t>
      </w:r>
      <w:r>
        <w:rPr>
          <w:rFonts w:ascii="Times New Roman" w:cs="Times New Roman" w:eastAsia="Times New Roman" w:hAnsi="Times New Roman"/>
          <w:sz w:val="18"/>
          <w:szCs w:val="18"/>
          <w:i w:val="1"/>
          <w:iCs w:val="1"/>
          <w:color w:val="auto"/>
        </w:rPr>
        <w:t>Note 8 - Debt</w:t>
      </w:r>
      <w:r>
        <w:rPr>
          <w:rFonts w:ascii="Times New Roman" w:cs="Times New Roman" w:eastAsia="Times New Roman" w:hAnsi="Times New Roman"/>
          <w:sz w:val="18"/>
          <w:szCs w:val="18"/>
          <w:color w:val="auto"/>
        </w:rPr>
        <w:t xml:space="preserve"> to the condensed consolidated financial statements in this Quarterly Report on Form 10-Q). Our floating rate debt interest is based on the floating 1-month SOFR plus a predetermined credit adjustment rate plus the bank spread. The remaining 62.3% of our debt is on a fixed rate or a floating rate with hedging. In a hypothetical scenario, a 1% change in the applicable rate would cause the interest expense on our floating rate debt to change by approximately $0.6 million per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Price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Additionally, elevated fuel costs can negatively impact consumer confidence and discretionary spending and thus reduce the frequency and amount spent by consumers for food-away-from-home purchases. We currently are able to obtain adequate supplies of diesel fuel, and average prices in the second quarter of 2025 decreased in comparison to average prices in the same period in 2024, decreasing 7.8% on average. However, it is impossible to predict the future availability or price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actively hedge the price fluctuation of diesel fuel in general. Instead, we seek to minimize fuel cost risk through delivery route optimization and fleet utilization improvement.</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such term is defined in Rules 13a-15(e) and 15d-15(e) under the Exchange Act, as of the end of the period covered by this report. In connection with this review and the audit of our consolidated financial statements for the year ended December 31, 2024, we identified material weaknesses as were reported previously, which continue to exist as of June 30, 2025. We did not properly design or maintain effective controls over the control environment, risk assessment, control activities, information and communication components and monitoring of the Committee of Sponsoring Organizations of the Treadway Commission in 2013.</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this evaluation, our principal executive officer and principal financial and accounting officer have concluded that as a result of the material weaknesses and control deficiencies as reported in our Annual Report on Form 10-K for the year ended December 31, 2024, our disclosure controls and procedures were not effective as of June 30, 2025. Notwithstanding the weaknesses, our management has concluded that the financial statements included elsewhere in this report present fairly, and in all material respects, our financial position, results of operation and cash flow in conformity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 and Disclosure Controls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remains committed to ongoing efforts to address material weaknesses. Although we will continue to implement measures to remedy our internal control deficiencies, there can be no assurance that our efforts will be successful or avoid potential future material weaknesses. In addition, until remediation steps have been completed and operated for a sufficient period of time, and subsequent evaluation of their effectiveness is completed, the material weaknesses previously identified will continue to exist.</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the actions taken to continue our material weaknesses remediation efforts, previously disclosed in our Annual Report on Form 10-K for the year ended December 31, 2024, there were no changes in our internal control over financial reporting (as defined in Rules 13a-15(f) and 15d-15(f) under the Exchange Act)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are a party to various lawsuits, claims and other legal proceedings that arise in the ordinary course of business. With respect to our outstanding legal matters, we believe that the amount or estimable range of reasonably possible loss will not, either individually or in the aggregate, have a material adverse effect on our business, consolidated financial position, results of operations, or cash flows. For information relating to legal proceedings, see </w:t>
      </w:r>
      <w:r>
        <w:rPr>
          <w:rFonts w:ascii="Times New Roman" w:cs="Times New Roman" w:eastAsia="Times New Roman" w:hAnsi="Times New Roman"/>
          <w:sz w:val="18"/>
          <w:szCs w:val="18"/>
          <w:i w:val="1"/>
          <w:iCs w:val="1"/>
          <w:color w:val="auto"/>
        </w:rPr>
        <w:t>Note 14 - Commitments and Contingencies</w:t>
      </w:r>
      <w:r>
        <w:rPr>
          <w:rFonts w:ascii="Times New Roman" w:cs="Times New Roman" w:eastAsia="Times New Roman" w:hAnsi="Times New Roman"/>
          <w:sz w:val="18"/>
          <w:szCs w:val="18"/>
          <w:color w:val="auto"/>
        </w:rPr>
        <w:t xml:space="preserve"> to our condensed consolidated financial statements.</w:t>
      </w:r>
    </w:p>
    <w:p>
      <w:pPr>
        <w:spacing w:after="0" w:line="3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Item 1A of our Annual Report on Form 10-K for the year ended December 31, 2024.</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 from 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none of our officers or directors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herein by reference or are filed or furnished with this report as indicated below:</w:t>
      </w:r>
    </w:p>
    <w:p>
      <w:pPr>
        <w:spacing w:after="0" w:line="100"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240"/>
          </w:cols>
          <w:pgMar w:left="320" w:top="887" w:right="339" w:bottom="1440" w:gutter="0" w:footer="0" w:header="0"/>
        </w:sectPr>
      </w:pPr>
    </w:p>
    <w:p>
      <w:pPr>
        <w:spacing w:after="0" w:line="50" w:lineRule="exact"/>
        <w:rPr>
          <w:sz w:val="20"/>
          <w:szCs w:val="20"/>
          <w:color w:val="auto"/>
        </w:rPr>
      </w:pPr>
    </w:p>
    <w:p>
      <w:pPr>
        <w:ind w:left="20" w:right="140"/>
        <w:spacing w:after="0" w:line="239"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4"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3.1</w:t>
        </w:r>
      </w:hyperlink>
    </w:p>
    <w:p>
      <w:pPr>
        <w:spacing w:after="0" w:line="2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3.2</w:t>
        </w:r>
      </w:hyperlink>
    </w:p>
    <w:p>
      <w:pPr>
        <w:spacing w:after="0" w:line="2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3.3</w:t>
        </w:r>
      </w:hyperlink>
    </w:p>
    <w:p>
      <w:pPr>
        <w:spacing w:after="0" w:line="1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3.4</w:t>
        </w:r>
      </w:hyperlink>
    </w:p>
    <w:p>
      <w:pPr>
        <w:spacing w:after="0" w:line="11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4.1</w:t>
        </w:r>
      </w:hyperlink>
    </w:p>
    <w:p>
      <w:pPr>
        <w:spacing w:after="0" w:line="2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4.2</w:t>
        </w:r>
      </w:hyperlink>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000000"/>
        </w:rPr>
        <w:t>**</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000000"/>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left="-15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Second Amended and Restated Certificate of Incorporation</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Amended and Restated Bylaws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First Amendment to Amended and Restated Bylaws, dated April 25, 2023</w:t>
        </w:r>
      </w:hyperlink>
    </w:p>
    <w:p>
      <w:pPr>
        <w:spacing w:after="0" w:line="23" w:lineRule="exact"/>
        <w:rPr>
          <w:sz w:val="20"/>
          <w:szCs w:val="20"/>
          <w:color w:val="auto"/>
        </w:rPr>
      </w:pPr>
    </w:p>
    <w:p>
      <w:pPr>
        <w:ind w:right="140"/>
        <w:spacing w:after="0" w:line="234" w:lineRule="auto"/>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Certificate of Designation of Rights, Preferences and Privileges of Series A Participating</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Preferred Stock</w:t>
        </w:r>
      </w:hyperlink>
    </w:p>
    <w:p>
      <w:pPr>
        <w:spacing w:after="0" w:line="1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Specimen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-127635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Form of Unit Purchase Option between the Registrant and Chardan Capital Markets,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right="380"/>
        <w:spacing w:after="0" w:line="234"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 13a-14 and Rule 15d-14(a), promulgated under the Securities and Exchange Act of 1934, as amended.</w:t>
      </w:r>
    </w:p>
    <w:p>
      <w:pPr>
        <w:spacing w:after="0" w:line="10" w:lineRule="exact"/>
        <w:rPr>
          <w:sz w:val="20"/>
          <w:szCs w:val="20"/>
          <w:color w:val="auto"/>
        </w:rPr>
      </w:pPr>
    </w:p>
    <w:p>
      <w:pPr>
        <w:ind w:right="44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Rule 13a-14 and Rule 15d-14(a), promulgated under the Securities and Exchange Act of 1934, as amended.</w:t>
      </w:r>
    </w:p>
    <w:p>
      <w:pPr>
        <w:spacing w:after="0" w:line="10"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-255905</wp:posOffset>
            </wp:positionV>
            <wp:extent cx="713232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26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-127635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90170</wp:posOffset>
            </wp:positionV>
            <wp:extent cx="71151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8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11/5/2019</w:t>
            </w:r>
          </w:p>
        </w:tc>
      </w:tr>
      <w:tr>
        <w:trPr>
          <w:trHeight w:val="23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11/4/2022</w:t>
            </w:r>
          </w:p>
        </w:tc>
      </w:tr>
      <w:tr>
        <w:trPr>
          <w:trHeight w:val="23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4/26/2023</w:t>
            </w: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4/12/2023</w:t>
            </w:r>
          </w:p>
        </w:tc>
      </w:tr>
      <w:tr>
        <w:trPr>
          <w:trHeight w:val="31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7/28/2017</w:t>
            </w:r>
          </w:p>
        </w:tc>
      </w:tr>
      <w:tr>
        <w:trPr>
          <w:trHeight w:val="23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7/28/2017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-1268095</wp:posOffset>
            </wp:positionV>
            <wp:extent cx="2040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3401" w:lineRule="exact"/>
        <w:rPr>
          <w:sz w:val="20"/>
          <w:szCs w:val="20"/>
          <w:color w:val="auto"/>
        </w:rPr>
      </w:pPr>
    </w:p>
    <w:p>
      <w:pPr>
        <w:sectPr>
          <w:pgSz w:w="11900" w:h="16838" w:orient="portrait"/>
          <w:cols w:equalWidth="0" w:num="3">
            <w:col w:w="800" w:space="420"/>
            <w:col w:w="6520" w:space="280"/>
            <w:col w:w="3220"/>
          </w:cols>
          <w:pgMar w:left="320" w:top="887" w:right="339" w:bottom="1440" w:gutter="0" w:footer="0" w:header="0"/>
          <w:type w:val="continuous"/>
        </w:sectPr>
      </w:pPr>
    </w:p>
    <w:p>
      <w:pPr>
        <w:ind w:left="600" w:hanging="574"/>
        <w:spacing w:after="0"/>
        <w:tabs>
          <w:tab w:leader="none" w:pos="6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jc w:val="both"/>
        <w:ind w:left="600" w:right="60" w:hanging="574"/>
        <w:spacing w:after="0" w:line="232" w:lineRule="auto"/>
        <w:tabs>
          <w:tab w:leader="none" w:pos="6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being furnished and shall not be deemed “filed” with the SEC for purposes of Section 18 of the Exchange Act, or otherwise subject to the liability of that section, and shall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HF Foods Group Inc.</w:t>
      </w:r>
    </w:p>
    <w:p>
      <w:pPr>
        <w:spacing w:after="0" w:line="18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 /s/ Felix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17145</wp:posOffset>
            </wp:positionV>
            <wp:extent cx="41744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Felix Lin</w:t>
      </w:r>
    </w:p>
    <w:p>
      <w:pPr>
        <w:ind w:left="468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4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7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 /s/ Cindy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17145</wp:posOffset>
            </wp:positionV>
            <wp:extent cx="41744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Cindy Yao</w:t>
      </w:r>
    </w:p>
    <w:p>
      <w:pPr>
        <w:ind w:left="468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468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887" w:right="3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Felix Lin,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HF Foods Group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8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Felix Lin</w:t>
            </w:r>
          </w:p>
        </w:tc>
      </w:tr>
      <w:tr>
        <w:trPr>
          <w:trHeight w:val="218"/>
        </w:trPr>
        <w:tc>
          <w:tcPr>
            <w:tcW w:w="2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Felix Lin</w:t>
            </w:r>
          </w:p>
        </w:tc>
      </w:tr>
      <w:tr>
        <w:trPr>
          <w:trHeight w:val="234"/>
        </w:trPr>
        <w:tc>
          <w:tcPr>
            <w:tcW w:w="2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Cindy Yao,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HF Foods Group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p>
      <w:pPr>
        <w:ind w:left="20"/>
        <w:spacing w:after="0"/>
        <w:tabs>
          <w:tab w:leader="none" w:pos="5760" w:val="left"/>
          <w:tab w:leader="none" w:pos="6220" w:val="left"/>
        </w:tabs>
        <w:rPr>
          <w:sz w:val="20"/>
          <w:szCs w:val="20"/>
          <w:color w:val="auto"/>
        </w:rPr>
      </w:pPr>
      <w:r>
        <w:rPr>
          <w:rFonts w:ascii="Times New Roman" w:cs="Times New Roman" w:eastAsia="Times New Roman" w:hAnsi="Times New Roman"/>
          <w:sz w:val="18"/>
          <w:szCs w:val="18"/>
          <w:color w:val="auto"/>
        </w:rPr>
        <w:t>Date: August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Cindy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18415</wp:posOffset>
            </wp:positionV>
            <wp:extent cx="31718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Cindy Yao</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Executive Officer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HF Foods Group Inc. (the “Company”) for the quarterly period ended June 30, 2025 as filed with the Securities and Exchange Commission on the date hereof (the “Report”), I, Felix Lin, President and Chief Executive Officer of the Company, certify, to the best of my knowledge and belief, pursuant to 18 U.S.C. § 1350, as adopted pursuant to § 906 of the Sarbanes-Oxley Act of 2002, that:</w:t>
      </w:r>
    </w:p>
    <w:p>
      <w:pPr>
        <w:spacing w:after="0" w:line="176" w:lineRule="exact"/>
        <w:rPr>
          <w:sz w:val="20"/>
          <w:szCs w:val="20"/>
          <w:color w:val="auto"/>
        </w:rPr>
      </w:pPr>
    </w:p>
    <w:p>
      <w:pPr>
        <w:ind w:left="980" w:hanging="324"/>
        <w:spacing w:after="0" w:line="282" w:lineRule="auto"/>
        <w:tabs>
          <w:tab w:leader="none" w:pos="10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84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Felix Lin</w:t>
            </w:r>
          </w:p>
        </w:tc>
      </w:tr>
      <w:tr>
        <w:trPr>
          <w:trHeight w:val="218"/>
        </w:trPr>
        <w:tc>
          <w:tcPr>
            <w:tcW w:w="2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Felix Lin</w:t>
            </w:r>
          </w:p>
        </w:tc>
      </w:tr>
      <w:tr>
        <w:trPr>
          <w:trHeight w:val="234"/>
        </w:trPr>
        <w:tc>
          <w:tcPr>
            <w:tcW w:w="2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0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Financial Officer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HF Foods Group Inc. (the “Company”) for the quarterly period ended June 30, 2025 as filed with the Securities and Exchange Commission on the date hereof (the “Report”), I, Cindy Yao, Chief Financial Officer, certify, to the best of my knowledge and belief, pursuant to 18 U.S.C. § 1350, as adopted pursuant to § 906 of the Sarbanes-Oxley Act of 2002, that:</w:t>
      </w:r>
    </w:p>
    <w:p>
      <w:pPr>
        <w:spacing w:after="0" w:line="176" w:lineRule="exact"/>
        <w:rPr>
          <w:sz w:val="20"/>
          <w:szCs w:val="20"/>
          <w:color w:val="auto"/>
        </w:rPr>
      </w:pPr>
    </w:p>
    <w:p>
      <w:pPr>
        <w:ind w:left="980" w:hanging="324"/>
        <w:spacing w:after="0" w:line="282" w:lineRule="auto"/>
        <w:tabs>
          <w:tab w:leader="none" w:pos="10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79" w:lineRule="exact"/>
        <w:rPr>
          <w:sz w:val="20"/>
          <w:szCs w:val="20"/>
          <w:color w:val="auto"/>
        </w:rPr>
      </w:pPr>
    </w:p>
    <w:p>
      <w:pPr>
        <w:ind w:left="20"/>
        <w:spacing w:after="0"/>
        <w:tabs>
          <w:tab w:leader="none" w:pos="5760" w:val="left"/>
          <w:tab w:leader="none" w:pos="6220" w:val="left"/>
        </w:tabs>
        <w:rPr>
          <w:sz w:val="20"/>
          <w:szCs w:val="20"/>
          <w:color w:val="auto"/>
        </w:rPr>
      </w:pPr>
      <w:r>
        <w:rPr>
          <w:rFonts w:ascii="Times New Roman" w:cs="Times New Roman" w:eastAsia="Times New Roman" w:hAnsi="Times New Roman"/>
          <w:sz w:val="18"/>
          <w:szCs w:val="18"/>
          <w:color w:val="auto"/>
        </w:rPr>
        <w:t>Date: August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Cindy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18415</wp:posOffset>
            </wp:positionV>
            <wp:extent cx="31718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Cindy Yao</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45" Type="http://schemas.openxmlformats.org/officeDocument/2006/relationships/hyperlink" Target="https://www.sec.gov/Archives/edgar/data/1680873/000143774919021487/ex_162902.htm" TargetMode="External"/><Relationship Id="rId46" Type="http://schemas.openxmlformats.org/officeDocument/2006/relationships/hyperlink" Target="https://www.sec.gov/Archives/edgar/data/1680873/000168087322000056/ex302-arbylawsxnovember2022.htm" TargetMode="External"/><Relationship Id="rId47" Type="http://schemas.openxmlformats.org/officeDocument/2006/relationships/hyperlink" Target="https://www.sec.gov/Archives/edgar/data/1680873/000168087323000016/exhibit31-bylawamendment.htm" TargetMode="External"/><Relationship Id="rId48" Type="http://schemas.openxmlformats.org/officeDocument/2006/relationships/hyperlink" Target="https://www.sec.gov/Archives/edgar/data/1680873/000119312523098200/d425223dex31.htm" TargetMode="External"/><Relationship Id="rId49" Type="http://schemas.openxmlformats.org/officeDocument/2006/relationships/hyperlink" Target="https://www.sec.gov/Archives/edgar/data/1680873/000161577417003872/s106920_ex4-2.htm" TargetMode="External"/><Relationship Id="rId50" Type="http://schemas.openxmlformats.org/officeDocument/2006/relationships/hyperlink" Target="https://www.sec.gov/Archives/edgar/data/1680873/000161577417003872/s106920_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2025-08-11T15:30:06Z</dcterms:created>
  <dcterms:modified xsi:type="dcterms:W3CDTF">2025-08-11T15:30:06Z</dcterms:modified>
</cp:coreProperties>
</file>