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3"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8-A</w:t>
      </w:r>
    </w:p>
    <w:p>
      <w:pPr>
        <w:spacing w:after="0" w:line="200" w:lineRule="exact"/>
        <w:rPr>
          <w:sz w:val="24"/>
          <w:szCs w:val="24"/>
          <w:color w:val="auto"/>
        </w:rPr>
      </w:pPr>
    </w:p>
    <w:p>
      <w:pPr>
        <w:spacing w:after="0" w:line="296"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FOR REGISTRATION OF CERTAIN CLASSES OF SECURITIES</w:t>
      </w:r>
    </w:p>
    <w:p>
      <w:pPr>
        <w:jc w:val="center"/>
        <w:ind w:right="-619"/>
        <w:spacing w:after="0" w:line="230" w:lineRule="auto"/>
        <w:rPr>
          <w:sz w:val="20"/>
          <w:szCs w:val="20"/>
          <w:color w:val="auto"/>
        </w:rPr>
      </w:pPr>
      <w:r>
        <w:rPr>
          <w:rFonts w:ascii="Arial" w:cs="Arial" w:eastAsia="Arial" w:hAnsi="Arial"/>
          <w:sz w:val="22"/>
          <w:szCs w:val="22"/>
          <w:b w:val="1"/>
          <w:bCs w:val="1"/>
          <w:color w:val="auto"/>
        </w:rPr>
        <w:t>PURSUANT TO SECTION 12(b) OR (g) OF</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26"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HF Foods Group Inc.</w:t>
      </w:r>
    </w:p>
    <w:p>
      <w:pPr>
        <w:spacing w:after="0" w:line="3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620"/>
          </w:cols>
          <w:pgMar w:left="320" w:top="1440" w:right="9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81-2717873</w:t>
      </w:r>
    </w:p>
    <w:p>
      <w:pPr>
        <w:spacing w:after="0" w:line="70" w:lineRule="exact"/>
        <w:rPr>
          <w:sz w:val="24"/>
          <w:szCs w:val="24"/>
          <w:color w:val="auto"/>
        </w:rPr>
      </w:pPr>
    </w:p>
    <w:p>
      <w:pPr>
        <w:sectPr>
          <w:pgSz w:w="11900" w:h="16838" w:orient="portrait"/>
          <w:cols w:equalWidth="0" w:num="2">
            <w:col w:w="7280" w:space="720"/>
            <w:col w:w="2620"/>
          </w:cols>
          <w:pgMar w:left="320" w:top="1440" w:right="959" w:bottom="144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580" w:space="720"/>
            <w:col w:w="3320"/>
          </w:cols>
          <w:pgMar w:left="320" w:top="1440" w:right="959" w:bottom="1440" w:gutter="0" w:footer="0" w:header="0"/>
          <w:type w:val="continuous"/>
        </w:sectPr>
      </w:pPr>
    </w:p>
    <w:p>
      <w:pPr>
        <w:spacing w:after="0" w:line="156"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6325 South Rainbow Boulevard, Suite 420</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Las Vegas, Nevada 89118</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07"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329" w:lineRule="exact"/>
        <w:rPr>
          <w:sz w:val="24"/>
          <w:szCs w:val="24"/>
          <w:color w:val="auto"/>
        </w:rPr>
      </w:pPr>
    </w:p>
    <w:tbl>
      <w:tblPr>
        <w:tblLayout w:type="fixed"/>
        <w:tblInd w:w="1340" w:type="dxa"/>
        <w:tblCellMar>
          <w:top w:w="0" w:type="dxa"/>
          <w:left w:w="0" w:type="dxa"/>
          <w:bottom w:w="0" w:type="dxa"/>
          <w:right w:w="0" w:type="dxa"/>
        </w:tblCellMar>
      </w:tblPr>
      <w:tr>
        <w:trPr>
          <w:trHeight w:val="162"/>
        </w:trPr>
        <w:tc>
          <w:tcPr>
            <w:tcW w:w="4400" w:type="dxa"/>
            <w:vAlign w:val="bottom"/>
          </w:tcPr>
          <w:p>
            <w:pPr>
              <w:jc w:val="center"/>
              <w:ind w:right="1522"/>
              <w:spacing w:after="0"/>
              <w:rPr>
                <w:sz w:val="20"/>
                <w:szCs w:val="20"/>
                <w:color w:val="auto"/>
              </w:rPr>
            </w:pPr>
            <w:r>
              <w:rPr>
                <w:rFonts w:ascii="Arial" w:cs="Arial" w:eastAsia="Arial" w:hAnsi="Arial"/>
                <w:sz w:val="14"/>
                <w:szCs w:val="14"/>
                <w:b w:val="1"/>
                <w:bCs w:val="1"/>
                <w:color w:val="auto"/>
              </w:rPr>
              <w:t>Title of each class</w:t>
            </w:r>
          </w:p>
        </w:tc>
        <w:tc>
          <w:tcPr>
            <w:tcW w:w="3900" w:type="dxa"/>
            <w:vAlign w:val="bottom"/>
          </w:tcPr>
          <w:p>
            <w:pPr>
              <w:jc w:val="center"/>
              <w:ind w:left="1502"/>
              <w:spacing w:after="0"/>
              <w:rPr>
                <w:sz w:val="20"/>
                <w:szCs w:val="20"/>
                <w:color w:val="auto"/>
              </w:rPr>
            </w:pPr>
            <w:r>
              <w:rPr>
                <w:rFonts w:ascii="Arial" w:cs="Arial" w:eastAsia="Arial" w:hAnsi="Arial"/>
                <w:sz w:val="14"/>
                <w:szCs w:val="14"/>
                <w:b w:val="1"/>
                <w:bCs w:val="1"/>
                <w:color w:val="auto"/>
              </w:rPr>
              <w:t>Name of each exchange on which</w:t>
            </w:r>
          </w:p>
        </w:tc>
      </w:tr>
      <w:tr>
        <w:trPr>
          <w:trHeight w:val="196"/>
        </w:trPr>
        <w:tc>
          <w:tcPr>
            <w:tcW w:w="4400" w:type="dxa"/>
            <w:vAlign w:val="bottom"/>
          </w:tcPr>
          <w:p>
            <w:pPr>
              <w:jc w:val="center"/>
              <w:ind w:right="1522"/>
              <w:spacing w:after="0"/>
              <w:rPr>
                <w:sz w:val="20"/>
                <w:szCs w:val="20"/>
                <w:color w:val="auto"/>
              </w:rPr>
            </w:pPr>
            <w:r>
              <w:rPr>
                <w:rFonts w:ascii="Arial" w:cs="Arial" w:eastAsia="Arial" w:hAnsi="Arial"/>
                <w:sz w:val="14"/>
                <w:szCs w:val="14"/>
                <w:b w:val="1"/>
                <w:bCs w:val="1"/>
                <w:color w:val="auto"/>
              </w:rPr>
              <w:t>to be so registered</w:t>
            </w:r>
          </w:p>
        </w:tc>
        <w:tc>
          <w:tcPr>
            <w:tcW w:w="3900" w:type="dxa"/>
            <w:vAlign w:val="bottom"/>
          </w:tcPr>
          <w:p>
            <w:pPr>
              <w:jc w:val="center"/>
              <w:ind w:left="1502"/>
              <w:spacing w:after="0"/>
              <w:rPr>
                <w:sz w:val="20"/>
                <w:szCs w:val="20"/>
                <w:color w:val="auto"/>
              </w:rPr>
            </w:pPr>
            <w:r>
              <w:rPr>
                <w:rFonts w:ascii="Arial" w:cs="Arial" w:eastAsia="Arial" w:hAnsi="Arial"/>
                <w:sz w:val="14"/>
                <w:szCs w:val="14"/>
                <w:b w:val="1"/>
                <w:bCs w:val="1"/>
                <w:color w:val="auto"/>
              </w:rPr>
              <w:t>each class is to be registered</w:t>
            </w:r>
          </w:p>
        </w:tc>
      </w:tr>
      <w:tr>
        <w:trPr>
          <w:trHeight w:val="257"/>
        </w:trPr>
        <w:tc>
          <w:tcPr>
            <w:tcW w:w="4400" w:type="dxa"/>
            <w:vAlign w:val="bottom"/>
          </w:tcPr>
          <w:p>
            <w:pPr>
              <w:jc w:val="center"/>
              <w:ind w:right="1522"/>
              <w:spacing w:after="0"/>
              <w:rPr>
                <w:sz w:val="20"/>
                <w:szCs w:val="20"/>
                <w:color w:val="auto"/>
              </w:rPr>
            </w:pPr>
            <w:r>
              <w:rPr>
                <w:rFonts w:ascii="Arial" w:cs="Arial" w:eastAsia="Arial" w:hAnsi="Arial"/>
                <w:sz w:val="18"/>
                <w:szCs w:val="18"/>
                <w:b w:val="1"/>
                <w:bCs w:val="1"/>
                <w:color w:val="auto"/>
                <w:w w:val="99"/>
              </w:rPr>
              <w:t>Preferred Stock Purchase Rights</w:t>
            </w:r>
          </w:p>
        </w:tc>
        <w:tc>
          <w:tcPr>
            <w:tcW w:w="3900" w:type="dxa"/>
            <w:vAlign w:val="bottom"/>
          </w:tcPr>
          <w:p>
            <w:pPr>
              <w:jc w:val="center"/>
              <w:ind w:left="1482"/>
              <w:spacing w:after="0"/>
              <w:rPr>
                <w:sz w:val="20"/>
                <w:szCs w:val="20"/>
                <w:color w:val="auto"/>
              </w:rPr>
            </w:pPr>
            <w:r>
              <w:rPr>
                <w:rFonts w:ascii="Arial" w:cs="Arial" w:eastAsia="Arial" w:hAnsi="Arial"/>
                <w:sz w:val="18"/>
                <w:szCs w:val="18"/>
                <w:b w:val="1"/>
                <w:bCs w:val="1"/>
                <w:color w:val="auto"/>
                <w:w w:val="99"/>
              </w:rPr>
              <w:t>The Nasdaq Capital Market</w:t>
            </w:r>
          </w:p>
        </w:tc>
      </w:tr>
    </w:tbl>
    <w:p>
      <w:pPr>
        <w:spacing w:after="0" w:line="200" w:lineRule="exact"/>
        <w:rPr>
          <w:sz w:val="24"/>
          <w:szCs w:val="24"/>
          <w:color w:val="auto"/>
        </w:rPr>
      </w:pPr>
    </w:p>
    <w:p>
      <w:pPr>
        <w:spacing w:after="0" w:line="363"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7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Not applicable</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14" w:lineRule="exact"/>
        <w:rPr>
          <w:sz w:val="24"/>
          <w:szCs w:val="24"/>
          <w:color w:val="auto"/>
        </w:rPr>
      </w:pPr>
    </w:p>
    <w:p>
      <w:pPr>
        <w:ind w:left="540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0620"/>
          </w:cols>
          <w:pgMar w:left="320" w:top="1440" w:right="9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 Description of Registrant’s Securities to be Registered</w:t>
      </w:r>
    </w:p>
    <w:p>
      <w:pPr>
        <w:spacing w:after="0" w:line="23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On June 11, 2026, the Board of Directors (the “Board”) of HF Foods Group Inc., a Delaware corporation (the “Company”), authorized and declared a dividend distribution of one right (each, a “Right”) for each outstanding share of common stock, par value $0.0001 per share (the “Common Stock”), of the Company to stockholders of record as of the close of business on June 22, 2026 (the “Record Date”). Each Right entitles the registered holder to purchase from the Company one one-thousandth of a share of Series AA Participating Preferred Stock, par value $0.001 per share (the “Preferred Stock”), of the Company at an exercise price of $9.55 (the “Exercise Price”), subject to adjustment. The complete terms of the Rights are set forth in a Preferred Stock Rights Agreement (the “Rights Agreement”), dated as of June 12, 2026, between the Company and Equiniti Trust Company, LLC, as rights agent.</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Board adopted the Rights Agreement to protect stockholders from coercive or otherwise unfair takeover tactics. In general terms, it works by imposing a significant penalty upon any person or group that acquires fifteen percent (15%) or more of the shares of Common Stock without the approval of the Board. As a result, the overall effect of the Rights Agreement and the issuance of the Rights may be to render more difficult or discourage a merger, tender or exchange offer or other business combination involving the Company that is not approved by the Board. However, neither the Rights Agreement nor the Rights should interfere with any merger, tender or exchange offer or other business combination approved by the Board.</w:t>
      </w:r>
    </w:p>
    <w:p>
      <w:pPr>
        <w:spacing w:after="0" w:line="20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is a summary of the terms of the Rights Agreement. The summary does not purport to be complete and is qualified in its entirety by reference to the Rights Agreement, a copy of which is attached as Exhibit 4.1 and is incorporated herein by reference.</w:t>
      </w:r>
    </w:p>
    <w:p>
      <w:pPr>
        <w:sectPr>
          <w:pgSz w:w="11900" w:h="16838" w:orient="portrait"/>
          <w:cols w:equalWidth="0" w:num="1">
            <w:col w:w="11200"/>
          </w:cols>
          <w:pgMar w:left="320" w:top="1408" w:right="379" w:bottom="144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Distribution and Transfer of</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declared a dividend of one Right for each outstanding share of Common Stock. Prior to the Distribution</w:t>
      </w:r>
    </w:p>
    <w:p>
      <w:pPr>
        <w:spacing w:after="0" w:line="36" w:lineRule="exact"/>
        <w:rPr>
          <w:sz w:val="20"/>
          <w:szCs w:val="20"/>
          <w:color w:val="auto"/>
        </w:rPr>
      </w:pPr>
    </w:p>
    <w:p>
      <w:pPr>
        <w:sectPr>
          <w:pgSz w:w="11900" w:h="16838" w:orient="portrait"/>
          <w:cols w:equalWidth="0" w:num="2">
            <w:col w:w="2160" w:space="360"/>
            <w:col w:w="8680"/>
          </w:cols>
          <w:pgMar w:left="320" w:top="1408" w:right="379" w:bottom="1440" w:gutter="0" w:footer="0" w:header="0"/>
          <w:type w:val="continuous"/>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Rights; Rights Certificates: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 referred to below:</w:t>
      </w:r>
    </w:p>
    <w:p>
      <w:pPr>
        <w:spacing w:after="0" w:line="202" w:lineRule="exact"/>
        <w:rPr>
          <w:sz w:val="20"/>
          <w:szCs w:val="20"/>
          <w:color w:val="auto"/>
        </w:rPr>
      </w:pPr>
    </w:p>
    <w:p>
      <w:pPr>
        <w:sectPr>
          <w:pgSz w:w="11900" w:h="16838" w:orient="portrait"/>
          <w:cols w:equalWidth="0" w:num="2">
            <w:col w:w="2120" w:space="400"/>
            <w:col w:w="8680"/>
          </w:cols>
          <w:pgMar w:left="320" w:top="1408" w:right="379" w:bottom="1440" w:gutter="0" w:footer="0" w:header="0"/>
          <w:type w:val="continuous"/>
        </w:sectPr>
      </w:pPr>
    </w:p>
    <w:p>
      <w:pPr>
        <w:spacing w:after="0" w:line="1" w:lineRule="exact"/>
        <w:rPr>
          <w:sz w:val="20"/>
          <w:szCs w:val="20"/>
          <w:color w:val="auto"/>
        </w:rPr>
      </w:pPr>
    </w:p>
    <w:p>
      <w:pPr>
        <w:ind w:left="2520" w:right="40" w:firstLine="270"/>
        <w:spacing w:after="0" w:line="248" w:lineRule="auto"/>
        <w:rPr>
          <w:sz w:val="20"/>
          <w:szCs w:val="20"/>
          <w:color w:val="auto"/>
        </w:rPr>
      </w:pPr>
      <w:r>
        <w:rPr>
          <w:rFonts w:ascii="Arial" w:cs="Arial" w:eastAsia="Arial" w:hAnsi="Arial"/>
          <w:sz w:val="16"/>
          <w:szCs w:val="16"/>
          <w:color w:val="auto"/>
        </w:rPr>
        <w:t>•   the Rights will be evidenced by and trade with the certificates for the Common Stock (or, with respect to any uncertificated Common Stock registered in book entry form, by notation in book entry), and no separate rights certificates</w:t>
      </w:r>
    </w:p>
    <w:p>
      <w:pPr>
        <w:ind w:left="2520"/>
        <w:spacing w:after="0"/>
        <w:rPr>
          <w:sz w:val="20"/>
          <w:szCs w:val="20"/>
          <w:color w:val="auto"/>
        </w:rPr>
      </w:pPr>
      <w:r>
        <w:rPr>
          <w:rFonts w:ascii="Arial" w:cs="Arial" w:eastAsia="Arial" w:hAnsi="Arial"/>
          <w:sz w:val="16"/>
          <w:szCs w:val="16"/>
          <w:color w:val="auto"/>
        </w:rPr>
        <w:t>will be distributed;</w:t>
      </w:r>
    </w:p>
    <w:p>
      <w:pPr>
        <w:sectPr>
          <w:pgSz w:w="11900" w:h="16838" w:orient="portrait"/>
          <w:cols w:equalWidth="0" w:num="1">
            <w:col w:w="11200"/>
          </w:cols>
          <w:pgMar w:left="320" w:top="1408" w:right="379" w:bottom="1440" w:gutter="0" w:footer="0" w:header="0"/>
          <w:type w:val="continuous"/>
        </w:sectPr>
      </w:pPr>
    </w:p>
    <w:p>
      <w:pPr>
        <w:spacing w:after="0" w:line="219" w:lineRule="exact"/>
        <w:rPr>
          <w:sz w:val="20"/>
          <w:szCs w:val="20"/>
          <w:color w:val="auto"/>
        </w:rPr>
      </w:pPr>
    </w:p>
    <w:p>
      <w:pPr>
        <w:ind w:left="278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 new Common Stock certificates issued after the Record Date will contain a legend incorporating the Rights</w:t>
      </w:r>
    </w:p>
    <w:p>
      <w:pPr>
        <w:spacing w:after="0" w:line="31" w:lineRule="exact"/>
        <w:rPr>
          <w:sz w:val="20"/>
          <w:szCs w:val="20"/>
          <w:color w:val="auto"/>
        </w:rPr>
      </w:pPr>
    </w:p>
    <w:p>
      <w:pPr>
        <w:sectPr>
          <w:pgSz w:w="11900" w:h="16838" w:orient="portrait"/>
          <w:cols w:equalWidth="0" w:num="2">
            <w:col w:w="2880" w:space="120"/>
            <w:col w:w="8200"/>
          </w:cols>
          <w:pgMar w:left="320" w:top="1408" w:right="379" w:bottom="1440" w:gutter="0" w:footer="0" w:header="0"/>
          <w:type w:val="continuous"/>
        </w:sectPr>
      </w:pPr>
    </w:p>
    <w:p>
      <w:pPr>
        <w:ind w:left="2520" w:right="100"/>
        <w:spacing w:after="0" w:line="237" w:lineRule="auto"/>
        <w:rPr>
          <w:sz w:val="20"/>
          <w:szCs w:val="20"/>
          <w:color w:val="auto"/>
        </w:rPr>
      </w:pPr>
      <w:r>
        <w:rPr>
          <w:rFonts w:ascii="Arial" w:cs="Arial" w:eastAsia="Arial" w:hAnsi="Arial"/>
          <w:sz w:val="16"/>
          <w:szCs w:val="16"/>
          <w:color w:val="auto"/>
        </w:rPr>
        <w:t>Agreement by reference (for uncertificated Common Stock registered in book entry form, this legend will be contained in a notation in book entry); and</w:t>
      </w:r>
    </w:p>
    <w:p>
      <w:pPr>
        <w:spacing w:after="0" w:line="219" w:lineRule="exact"/>
        <w:rPr>
          <w:sz w:val="20"/>
          <w:szCs w:val="20"/>
          <w:color w:val="auto"/>
        </w:rPr>
      </w:pPr>
    </w:p>
    <w:p>
      <w:pPr>
        <w:ind w:left="2520" w:right="20" w:firstLine="270"/>
        <w:spacing w:after="0" w:line="248" w:lineRule="auto"/>
        <w:rPr>
          <w:sz w:val="20"/>
          <w:szCs w:val="20"/>
          <w:color w:val="auto"/>
        </w:rPr>
      </w:pPr>
      <w:r>
        <w:rPr>
          <w:rFonts w:ascii="Arial" w:cs="Arial" w:eastAsia="Arial" w:hAnsi="Arial"/>
          <w:sz w:val="16"/>
          <w:szCs w:val="16"/>
          <w:color w:val="auto"/>
        </w:rPr>
        <w:t>•   the surrender for transfer of any certificates for Common Stock (or the surrender for transfer of any uncertificated Common Stock registered in book entry form) will also constitute the transfer of the Rights associated with such Common</w:t>
      </w:r>
    </w:p>
    <w:p>
      <w:pPr>
        <w:ind w:left="2520"/>
        <w:spacing w:after="0"/>
        <w:rPr>
          <w:sz w:val="20"/>
          <w:szCs w:val="20"/>
          <w:color w:val="auto"/>
        </w:rPr>
      </w:pPr>
      <w:r>
        <w:rPr>
          <w:rFonts w:ascii="Arial" w:cs="Arial" w:eastAsia="Arial" w:hAnsi="Arial"/>
          <w:sz w:val="16"/>
          <w:szCs w:val="16"/>
          <w:color w:val="auto"/>
        </w:rPr>
        <w:t>Stock.</w:t>
      </w:r>
    </w:p>
    <w:p>
      <w:pPr>
        <w:spacing w:after="0" w:line="2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Rights will accompany any new shares of Common Stock that are issued after the Record Date.</w:t>
      </w:r>
    </w:p>
    <w:p>
      <w:pPr>
        <w:sectPr>
          <w:pgSz w:w="11900" w:h="16838" w:orient="portrait"/>
          <w:cols w:equalWidth="0" w:num="1">
            <w:col w:w="11200"/>
          </w:cols>
          <w:pgMar w:left="320" w:top="1408" w:right="379" w:bottom="1440" w:gutter="0" w:footer="0" w:header="0"/>
          <w:type w:val="continuous"/>
        </w:sectPr>
      </w:pPr>
    </w:p>
    <w:bookmarkStart w:id="2" w:name="page3"/>
    <w:bookmarkEnd w:id="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20"/>
                <w:szCs w:val="20"/>
                <w:color w:val="auto"/>
              </w:rPr>
            </w:pPr>
            <w:r>
              <w:rPr>
                <w:rFonts w:ascii="Arial" w:cs="Arial" w:eastAsia="Arial" w:hAnsi="Arial"/>
                <w:sz w:val="16"/>
                <w:szCs w:val="16"/>
                <w:b w:val="1"/>
                <w:bCs w:val="1"/>
                <w:color w:val="auto"/>
              </w:rPr>
              <w:t>Distribution Date:</w:t>
            </w: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Subject to certain exceptions specified in the Rights Agreement, the Rights will separate from the Common Stock and</w:t>
            </w:r>
          </w:p>
        </w:tc>
      </w:tr>
      <w:tr>
        <w:trPr>
          <w:trHeight w:val="189"/>
        </w:trPr>
        <w:tc>
          <w:tcPr>
            <w:tcW w:w="2360" w:type="dxa"/>
            <w:vAlign w:val="bottom"/>
          </w:tcPr>
          <w:p>
            <w:pPr>
              <w:spacing w:after="0"/>
              <w:rPr>
                <w:sz w:val="16"/>
                <w:szCs w:val="16"/>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become exercisable following (1) the 10th business day (or such later date as may be determined by the Board) after the</w:t>
            </w:r>
          </w:p>
        </w:tc>
      </w:tr>
      <w:tr>
        <w:trPr>
          <w:trHeight w:val="175"/>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public announcement that a person or group of affiliated or associated persons (such person or group, an “Acquiring</w:t>
            </w:r>
          </w:p>
        </w:tc>
      </w:tr>
      <w:tr>
        <w:trPr>
          <w:trHeight w:val="189"/>
        </w:trPr>
        <w:tc>
          <w:tcPr>
            <w:tcW w:w="2360" w:type="dxa"/>
            <w:vAlign w:val="bottom"/>
          </w:tcPr>
          <w:p>
            <w:pPr>
              <w:spacing w:after="0"/>
              <w:rPr>
                <w:sz w:val="16"/>
                <w:szCs w:val="16"/>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Person”) has acquired beneficial ownership of fifteen percent (15%) or more of the Common Stock or (2) the 10th</w:t>
            </w:r>
          </w:p>
        </w:tc>
      </w:tr>
      <w:tr>
        <w:trPr>
          <w:trHeight w:val="176"/>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business day (or such later date as may be determined by the Board) after a person or group announces a tender or</w:t>
            </w:r>
          </w:p>
        </w:tc>
      </w:tr>
      <w:tr>
        <w:trPr>
          <w:trHeight w:val="189"/>
        </w:trPr>
        <w:tc>
          <w:tcPr>
            <w:tcW w:w="2360" w:type="dxa"/>
            <w:vAlign w:val="bottom"/>
          </w:tcPr>
          <w:p>
            <w:pPr>
              <w:spacing w:after="0"/>
              <w:rPr>
                <w:sz w:val="16"/>
                <w:szCs w:val="16"/>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exchange offer that would result in ownership by a person or group of fifteen percent (15%) or more of the Common</w:t>
            </w:r>
          </w:p>
        </w:tc>
      </w:tr>
      <w:tr>
        <w:trPr>
          <w:trHeight w:val="176"/>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Stock. For purposes of the Rights Agreement, beneficial ownership is defined to include the ownership of derivative</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securities.</w:t>
            </w:r>
          </w:p>
        </w:tc>
      </w:tr>
      <w:tr>
        <w:trPr>
          <w:trHeight w:val="325"/>
        </w:trPr>
        <w:tc>
          <w:tcPr>
            <w:tcW w:w="2360" w:type="dxa"/>
            <w:vAlign w:val="bottom"/>
          </w:tcPr>
          <w:p>
            <w:pPr>
              <w:spacing w:after="0"/>
              <w:rPr>
                <w:sz w:val="24"/>
                <w:szCs w:val="24"/>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A person or group who beneficially owned fifteen percent (15%) or more of the Company’s outstanding Common Stock</w:t>
            </w:r>
          </w:p>
        </w:tc>
      </w:tr>
      <w:tr>
        <w:trPr>
          <w:trHeight w:val="176"/>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prior to the first public announcement by the Company of the adoption of the Rights Agreement will not trigger the Rights</w:t>
            </w:r>
          </w:p>
        </w:tc>
      </w:tr>
      <w:tr>
        <w:trPr>
          <w:trHeight w:val="189"/>
        </w:trPr>
        <w:tc>
          <w:tcPr>
            <w:tcW w:w="2360" w:type="dxa"/>
            <w:vAlign w:val="bottom"/>
          </w:tcPr>
          <w:p>
            <w:pPr>
              <w:spacing w:after="0"/>
              <w:rPr>
                <w:sz w:val="16"/>
                <w:szCs w:val="16"/>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Agreement so long as they do not acquire beneficial ownership of any additional shares of Common Stock at a time when</w:t>
            </w:r>
          </w:p>
        </w:tc>
      </w:tr>
      <w:tr>
        <w:trPr>
          <w:trHeight w:val="176"/>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they still beneficially own fifteen percent (15%) or more of such Common Stock, subject to certain exceptions as set forth</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in the Rights Agreement.</w:t>
            </w:r>
          </w:p>
        </w:tc>
      </w:tr>
      <w:tr>
        <w:trPr>
          <w:trHeight w:val="325"/>
        </w:trPr>
        <w:tc>
          <w:tcPr>
            <w:tcW w:w="2360" w:type="dxa"/>
            <w:vAlign w:val="bottom"/>
          </w:tcPr>
          <w:p>
            <w:pPr>
              <w:spacing w:after="0"/>
              <w:rPr>
                <w:sz w:val="24"/>
                <w:szCs w:val="24"/>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The date on which the Rights separate from the Common Stock and become exercisable is referred to as the</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“Distribution Date.”</w:t>
            </w:r>
          </w:p>
        </w:tc>
      </w:tr>
      <w:tr>
        <w:trPr>
          <w:trHeight w:val="325"/>
        </w:trPr>
        <w:tc>
          <w:tcPr>
            <w:tcW w:w="2360" w:type="dxa"/>
            <w:vAlign w:val="bottom"/>
          </w:tcPr>
          <w:p>
            <w:pPr>
              <w:spacing w:after="0"/>
              <w:rPr>
                <w:sz w:val="24"/>
                <w:szCs w:val="24"/>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After the Distribution Date, the Company will mail Rights certificates to the Company’s stockholders as of the close of</w:t>
            </w:r>
          </w:p>
        </w:tc>
      </w:tr>
      <w:tr>
        <w:trPr>
          <w:trHeight w:val="175"/>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business on the Distribution Date and the Rights will become transferable apart from the Common Stock. Thereafter,</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such Rights certificates alone will represent the Rights.</w:t>
            </w:r>
          </w:p>
        </w:tc>
      </w:tr>
      <w:tr>
        <w:trPr>
          <w:trHeight w:val="420"/>
        </w:trPr>
        <w:tc>
          <w:tcPr>
            <w:tcW w:w="2360" w:type="dxa"/>
            <w:vAlign w:val="bottom"/>
          </w:tcPr>
          <w:p>
            <w:pPr>
              <w:spacing w:after="0"/>
              <w:rPr>
                <w:sz w:val="20"/>
                <w:szCs w:val="20"/>
                <w:color w:val="auto"/>
              </w:rPr>
            </w:pPr>
            <w:r>
              <w:rPr>
                <w:rFonts w:ascii="Arial" w:cs="Arial" w:eastAsia="Arial" w:hAnsi="Arial"/>
                <w:sz w:val="16"/>
                <w:szCs w:val="16"/>
                <w:b w:val="1"/>
                <w:bCs w:val="1"/>
                <w:color w:val="auto"/>
              </w:rPr>
              <w:t>Preferred Stock Purchasable</w:t>
            </w: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After the Distribution Date, each Right will entitle the holder to purchase, for the Exercise Price, one one-thousandth of a</w:t>
            </w:r>
          </w:p>
        </w:tc>
      </w:tr>
      <w:tr>
        <w:trPr>
          <w:trHeight w:val="189"/>
        </w:trPr>
        <w:tc>
          <w:tcPr>
            <w:tcW w:w="2360" w:type="dxa"/>
            <w:vAlign w:val="bottom"/>
          </w:tcPr>
          <w:p>
            <w:pPr>
              <w:spacing w:after="0"/>
              <w:rPr>
                <w:sz w:val="20"/>
                <w:szCs w:val="20"/>
                <w:color w:val="auto"/>
              </w:rPr>
            </w:pPr>
            <w:r>
              <w:rPr>
                <w:rFonts w:ascii="Arial" w:cs="Arial" w:eastAsia="Arial" w:hAnsi="Arial"/>
                <w:sz w:val="16"/>
                <w:szCs w:val="16"/>
                <w:b w:val="1"/>
                <w:bCs w:val="1"/>
                <w:color w:val="auto"/>
              </w:rPr>
              <w:t>Upon Exercise of Rights:</w:t>
            </w: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share of Preferred Stock having economic and other terms similar to that of one share of Common Stock. This portion of</w:t>
            </w:r>
          </w:p>
        </w:tc>
      </w:tr>
      <w:tr>
        <w:trPr>
          <w:trHeight w:val="175"/>
        </w:trPr>
        <w:tc>
          <w:tcPr>
            <w:tcW w:w="2360" w:type="dxa"/>
            <w:vAlign w:val="bottom"/>
          </w:tcPr>
          <w:p>
            <w:pPr>
              <w:spacing w:after="0"/>
              <w:rPr>
                <w:sz w:val="15"/>
                <w:szCs w:val="15"/>
                <w:color w:val="auto"/>
              </w:rPr>
            </w:pPr>
          </w:p>
        </w:tc>
        <w:tc>
          <w:tcPr>
            <w:tcW w:w="882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a share of Preferred Stock is intended to give the stockholder approximately the same dividend, voting and liquidation</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rights as would one share of Common Stock, and should approximate the value of one share of Common Stock.</w:t>
            </w:r>
          </w:p>
        </w:tc>
      </w:tr>
      <w:tr>
        <w:trPr>
          <w:trHeight w:val="432"/>
        </w:trPr>
        <w:tc>
          <w:tcPr>
            <w:tcW w:w="2360" w:type="dxa"/>
            <w:vAlign w:val="bottom"/>
          </w:tcPr>
          <w:p>
            <w:pPr>
              <w:spacing w:after="0"/>
              <w:rPr>
                <w:sz w:val="24"/>
                <w:szCs w:val="24"/>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More specifically, each one one-thousandth of a share of Preferred Stock, if issued, will:</w:t>
            </w:r>
          </w:p>
        </w:tc>
      </w:tr>
      <w:tr>
        <w:trPr>
          <w:trHeight w:val="418"/>
        </w:trPr>
        <w:tc>
          <w:tcPr>
            <w:tcW w:w="23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8260" w:type="dxa"/>
            <w:vAlign w:val="bottom"/>
          </w:tcPr>
          <w:p>
            <w:pPr>
              <w:ind w:left="60"/>
              <w:spacing w:after="0"/>
              <w:rPr>
                <w:sz w:val="20"/>
                <w:szCs w:val="20"/>
                <w:color w:val="auto"/>
              </w:rPr>
            </w:pPr>
            <w:r>
              <w:rPr>
                <w:rFonts w:ascii="Arial" w:cs="Arial" w:eastAsia="Arial" w:hAnsi="Arial"/>
                <w:sz w:val="16"/>
                <w:szCs w:val="16"/>
                <w:color w:val="auto"/>
              </w:rPr>
              <w:t> not be redeemable;</w:t>
            </w:r>
          </w:p>
        </w:tc>
      </w:tr>
      <w:tr>
        <w:trPr>
          <w:trHeight w:val="393"/>
        </w:trPr>
        <w:tc>
          <w:tcPr>
            <w:tcW w:w="23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8260" w:type="dxa"/>
            <w:vAlign w:val="bottom"/>
          </w:tcPr>
          <w:p>
            <w:pPr>
              <w:ind w:left="60"/>
              <w:spacing w:after="0"/>
              <w:rPr>
                <w:sz w:val="20"/>
                <w:szCs w:val="20"/>
                <w:color w:val="auto"/>
              </w:rPr>
            </w:pPr>
            <w:r>
              <w:rPr>
                <w:rFonts w:ascii="Arial" w:cs="Arial" w:eastAsia="Arial" w:hAnsi="Arial"/>
                <w:sz w:val="16"/>
                <w:szCs w:val="16"/>
                <w:color w:val="auto"/>
              </w:rPr>
              <w:t> entitle holders to quarterly dividend payments of $0.001 per one one-thousandth of a share of Preferred Stock, or</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an amount equal to the dividend paid on one share of Common Stock, whichever is greater;</w:t>
            </w:r>
          </w:p>
        </w:tc>
      </w:tr>
      <w:tr>
        <w:trPr>
          <w:trHeight w:val="393"/>
        </w:trPr>
        <w:tc>
          <w:tcPr>
            <w:tcW w:w="23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8260" w:type="dxa"/>
            <w:vAlign w:val="bottom"/>
          </w:tcPr>
          <w:p>
            <w:pPr>
              <w:ind w:left="60"/>
              <w:spacing w:after="0"/>
              <w:rPr>
                <w:sz w:val="20"/>
                <w:szCs w:val="20"/>
                <w:color w:val="auto"/>
              </w:rPr>
            </w:pPr>
            <w:r>
              <w:rPr>
                <w:rFonts w:ascii="Arial" w:cs="Arial" w:eastAsia="Arial" w:hAnsi="Arial"/>
                <w:sz w:val="16"/>
                <w:szCs w:val="16"/>
                <w:color w:val="auto"/>
              </w:rPr>
              <w:t> entitle holders upon liquidation either to receive $1 per one one-thousandth of a share of Preferred Stock or an</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amount equal to the payment made on one share of Common Stock, whichever is greater;</w:t>
            </w:r>
          </w:p>
        </w:tc>
      </w:tr>
      <w:tr>
        <w:trPr>
          <w:trHeight w:val="418"/>
        </w:trPr>
        <w:tc>
          <w:tcPr>
            <w:tcW w:w="23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8260" w:type="dxa"/>
            <w:vAlign w:val="bottom"/>
          </w:tcPr>
          <w:p>
            <w:pPr>
              <w:ind w:left="60"/>
              <w:spacing w:after="0"/>
              <w:rPr>
                <w:sz w:val="20"/>
                <w:szCs w:val="20"/>
                <w:color w:val="auto"/>
              </w:rPr>
            </w:pPr>
            <w:r>
              <w:rPr>
                <w:rFonts w:ascii="Arial" w:cs="Arial" w:eastAsia="Arial" w:hAnsi="Arial"/>
                <w:sz w:val="16"/>
                <w:szCs w:val="16"/>
                <w:color w:val="auto"/>
              </w:rPr>
              <w:t> have the same voting power as one share of Common Stock; and</w:t>
            </w:r>
          </w:p>
        </w:tc>
      </w:tr>
      <w:tr>
        <w:trPr>
          <w:trHeight w:val="393"/>
        </w:trPr>
        <w:tc>
          <w:tcPr>
            <w:tcW w:w="236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8260" w:type="dxa"/>
            <w:vAlign w:val="bottom"/>
          </w:tcPr>
          <w:p>
            <w:pPr>
              <w:ind w:left="60"/>
              <w:spacing w:after="0"/>
              <w:rPr>
                <w:sz w:val="20"/>
                <w:szCs w:val="20"/>
                <w:color w:val="auto"/>
              </w:rPr>
            </w:pPr>
            <w:r>
              <w:rPr>
                <w:rFonts w:ascii="Arial" w:cs="Arial" w:eastAsia="Arial" w:hAnsi="Arial"/>
                <w:sz w:val="16"/>
                <w:szCs w:val="16"/>
                <w:color w:val="auto"/>
              </w:rPr>
              <w:t> entitle holders to a payment per one one-thousandth of a share of Preferred Stock equal to the payment made on</w:t>
            </w:r>
          </w:p>
        </w:tc>
      </w:tr>
      <w:tr>
        <w:trPr>
          <w:trHeight w:val="215"/>
        </w:trPr>
        <w:tc>
          <w:tcPr>
            <w:tcW w:w="236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one share of Common Stock if the Common Stock is exchanged via merger, consolidation or a similar transaction.</w:t>
            </w:r>
          </w:p>
        </w:tc>
      </w:tr>
      <w:tr>
        <w:trPr>
          <w:trHeight w:val="420"/>
        </w:trPr>
        <w:tc>
          <w:tcPr>
            <w:tcW w:w="2360" w:type="dxa"/>
            <w:vAlign w:val="bottom"/>
          </w:tcPr>
          <w:p>
            <w:pPr>
              <w:spacing w:after="0"/>
              <w:rPr>
                <w:sz w:val="20"/>
                <w:szCs w:val="20"/>
                <w:color w:val="auto"/>
              </w:rPr>
            </w:pPr>
            <w:r>
              <w:rPr>
                <w:rFonts w:ascii="Arial" w:cs="Arial" w:eastAsia="Arial" w:hAnsi="Arial"/>
                <w:sz w:val="16"/>
                <w:szCs w:val="16"/>
                <w:b w:val="1"/>
                <w:bCs w:val="1"/>
                <w:color w:val="auto"/>
              </w:rPr>
              <w:t>Flip-In Trigger:</w:t>
            </w: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 xml:space="preserve">If an Acquiring Person obtains beneficial ownership of fifteen percent (15%) or more of the Common Stock, </w:t>
            </w:r>
            <w:r>
              <w:rPr>
                <w:rFonts w:ascii="Arial" w:cs="Arial" w:eastAsia="Arial" w:hAnsi="Arial"/>
                <w:sz w:val="16"/>
                <w:szCs w:val="16"/>
                <w:i w:val="1"/>
                <w:iCs w:val="1"/>
                <w:color w:val="auto"/>
              </w:rPr>
              <w:t>then</w:t>
            </w:r>
            <w:r>
              <w:rPr>
                <w:rFonts w:ascii="Arial" w:cs="Arial" w:eastAsia="Arial" w:hAnsi="Arial"/>
                <w:sz w:val="16"/>
                <w:szCs w:val="16"/>
                <w:color w:val="auto"/>
              </w:rPr>
              <w:t xml:space="preserve"> each</w:t>
            </w:r>
          </w:p>
        </w:tc>
      </w:tr>
      <w:tr>
        <w:trPr>
          <w:trHeight w:val="205"/>
        </w:trPr>
        <w:tc>
          <w:tcPr>
            <w:tcW w:w="2360" w:type="dxa"/>
            <w:vAlign w:val="bottom"/>
          </w:tcPr>
          <w:p>
            <w:pPr>
              <w:spacing w:after="0"/>
              <w:rPr>
                <w:sz w:val="17"/>
                <w:szCs w:val="17"/>
                <w:color w:val="auto"/>
              </w:rPr>
            </w:pPr>
          </w:p>
        </w:tc>
        <w:tc>
          <w:tcPr>
            <w:tcW w:w="8820" w:type="dxa"/>
            <w:vAlign w:val="bottom"/>
            <w:gridSpan w:val="2"/>
          </w:tcPr>
          <w:p>
            <w:pPr>
              <w:ind w:left="140"/>
              <w:spacing w:after="0"/>
              <w:rPr>
                <w:sz w:val="20"/>
                <w:szCs w:val="20"/>
                <w:color w:val="auto"/>
              </w:rPr>
            </w:pPr>
            <w:r>
              <w:rPr>
                <w:rFonts w:ascii="Arial" w:cs="Arial" w:eastAsia="Arial" w:hAnsi="Arial"/>
                <w:sz w:val="16"/>
                <w:szCs w:val="16"/>
                <w:color w:val="auto"/>
              </w:rPr>
              <w:t>Right will entitle the holder thereof to purchase, for the Exercise Price, a number of shares of Common Stock (or, in</w:t>
            </w:r>
          </w:p>
        </w:tc>
      </w:tr>
    </w:tbl>
    <w:p>
      <w:pPr>
        <w:jc w:val="both"/>
        <w:ind w:left="2500"/>
        <w:spacing w:after="0" w:line="247" w:lineRule="auto"/>
        <w:rPr>
          <w:sz w:val="20"/>
          <w:szCs w:val="20"/>
          <w:color w:val="auto"/>
        </w:rPr>
      </w:pPr>
      <w:r>
        <w:rPr>
          <w:rFonts w:ascii="Arial" w:cs="Arial" w:eastAsia="Arial" w:hAnsi="Arial"/>
          <w:sz w:val="16"/>
          <w:szCs w:val="16"/>
          <w:color w:val="auto"/>
        </w:rPr>
        <w:t>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199" w:lineRule="exact"/>
        <w:rPr>
          <w:sz w:val="20"/>
          <w:szCs w:val="20"/>
          <w:color w:val="auto"/>
        </w:rPr>
      </w:pPr>
    </w:p>
    <w:p>
      <w:pPr>
        <w:ind w:left="2500" w:right="60"/>
        <w:spacing w:after="0" w:line="257" w:lineRule="auto"/>
        <w:rPr>
          <w:sz w:val="20"/>
          <w:szCs w:val="20"/>
          <w:color w:val="auto"/>
        </w:rPr>
      </w:pPr>
      <w:r>
        <w:rPr>
          <w:rFonts w:ascii="Arial" w:cs="Arial" w:eastAsia="Arial" w:hAnsi="Arial"/>
          <w:sz w:val="16"/>
          <w:szCs w:val="16"/>
          <w:color w:val="auto"/>
        </w:rPr>
        <w:t>Following the occurrence of an event set forth in preceding paragraph, all Rights that are or, under certain circumstances specified in the Rights Agreement, were beneficially owned by an Acquiring Person or certain of its transferees will be void.</w:t>
      </w:r>
    </w:p>
    <w:p>
      <w:pPr>
        <w:sectPr>
          <w:pgSz w:w="11900" w:h="16838" w:orient="portrait"/>
          <w:cols w:equalWidth="0" w:num="1">
            <w:col w:w="11180"/>
          </w:cols>
          <w:pgMar w:left="340" w:top="1440" w:right="379" w:bottom="1440" w:gutter="0" w:footer="0" w:header="0"/>
        </w:sectPr>
      </w:pPr>
    </w:p>
    <w:bookmarkStart w:id="3" w:name="page4"/>
    <w:bookmarkEnd w:id="3"/>
    <w:p>
      <w:pPr>
        <w:spacing w:after="0" w:line="238" w:lineRule="exact"/>
        <w:rPr>
          <w:sz w:val="20"/>
          <w:szCs w:val="20"/>
          <w:color w:val="auto"/>
        </w:rPr>
      </w:pPr>
    </w:p>
    <w:p>
      <w:pPr>
        <w:ind w:left="2500" w:right="60" w:hanging="2483"/>
        <w:spacing w:after="0" w:line="247" w:lineRule="auto"/>
        <w:tabs>
          <w:tab w:leader="none" w:pos="2480" w:val="left"/>
        </w:tabs>
        <w:rPr>
          <w:sz w:val="20"/>
          <w:szCs w:val="20"/>
          <w:color w:val="auto"/>
        </w:rPr>
      </w:pPr>
      <w:r>
        <w:rPr>
          <w:rFonts w:ascii="Arial" w:cs="Arial" w:eastAsia="Arial" w:hAnsi="Arial"/>
          <w:sz w:val="16"/>
          <w:szCs w:val="16"/>
          <w:b w:val="1"/>
          <w:bCs w:val="1"/>
          <w:color w:val="auto"/>
        </w:rPr>
        <w:t>Flip-Over Trigger:</w:t>
      </w:r>
      <w:r>
        <w:rPr>
          <w:sz w:val="20"/>
          <w:szCs w:val="20"/>
          <w:color w:val="auto"/>
        </w:rPr>
        <w:tab/>
      </w:r>
      <w:r>
        <w:rPr>
          <w:rFonts w:ascii="Arial" w:cs="Arial" w:eastAsia="Arial" w:hAnsi="Arial"/>
          <w:sz w:val="16"/>
          <w:szCs w:val="16"/>
          <w:color w:val="auto"/>
        </w:rPr>
        <w:t xml:space="preserve">If, after an Acquiring Person obtains fifteen percent (15%) or more of the Common Stock, (1) the Company merges into another entity, (2) an acquiring entity merges into the Company or (3) the Company sells or transfers more than 50 percent of its assets, cash flow or earning power, </w:t>
      </w:r>
      <w:r>
        <w:rPr>
          <w:rFonts w:ascii="Arial" w:cs="Arial" w:eastAsia="Arial" w:hAnsi="Arial"/>
          <w:sz w:val="16"/>
          <w:szCs w:val="16"/>
          <w:i w:val="1"/>
          <w:iCs w:val="1"/>
          <w:color w:val="auto"/>
        </w:rPr>
        <w:t>then</w:t>
      </w:r>
      <w:r>
        <w:rPr>
          <w:rFonts w:ascii="Arial" w:cs="Arial" w:eastAsia="Arial" w:hAnsi="Arial"/>
          <w:sz w:val="16"/>
          <w:szCs w:val="16"/>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28" w:lineRule="exact"/>
        <w:rPr>
          <w:sz w:val="20"/>
          <w:szCs w:val="20"/>
          <w:color w:val="auto"/>
        </w:rPr>
      </w:pPr>
    </w:p>
    <w:p>
      <w:pPr>
        <w:ind w:left="2500" w:right="240" w:hanging="2483"/>
        <w:spacing w:after="0" w:line="243" w:lineRule="auto"/>
        <w:tabs>
          <w:tab w:leader="none" w:pos="2480" w:val="left"/>
        </w:tabs>
        <w:rPr>
          <w:sz w:val="20"/>
          <w:szCs w:val="20"/>
          <w:color w:val="auto"/>
        </w:rPr>
      </w:pPr>
      <w:r>
        <w:rPr>
          <w:rFonts w:ascii="Arial" w:cs="Arial" w:eastAsia="Arial" w:hAnsi="Arial"/>
          <w:sz w:val="16"/>
          <w:szCs w:val="16"/>
          <w:b w:val="1"/>
          <w:bCs w:val="1"/>
          <w:color w:val="auto"/>
        </w:rPr>
        <w:t>Redemption of the Rights:</w:t>
      </w:r>
      <w:r>
        <w:rPr>
          <w:sz w:val="20"/>
          <w:szCs w:val="20"/>
          <w:color w:val="auto"/>
        </w:rPr>
        <w:tab/>
      </w:r>
      <w:r>
        <w:rPr>
          <w:rFonts w:ascii="Arial" w:cs="Arial" w:eastAsia="Arial" w:hAnsi="Arial"/>
          <w:sz w:val="16"/>
          <w:szCs w:val="16"/>
          <w:color w:val="auto"/>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fifteen percent (15%)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w:t>
      </w:r>
    </w:p>
    <w:p>
      <w:pPr>
        <w:spacing w:after="0" w:line="246" w:lineRule="exact"/>
        <w:rPr>
          <w:sz w:val="20"/>
          <w:szCs w:val="20"/>
          <w:color w:val="auto"/>
        </w:rPr>
      </w:pPr>
    </w:p>
    <w:p>
      <w:pPr>
        <w:ind w:left="2500" w:right="60" w:hanging="2483"/>
        <w:spacing w:after="0" w:line="243" w:lineRule="auto"/>
        <w:tabs>
          <w:tab w:leader="none" w:pos="2480" w:val="left"/>
        </w:tabs>
        <w:rPr>
          <w:sz w:val="20"/>
          <w:szCs w:val="20"/>
          <w:color w:val="auto"/>
        </w:rPr>
      </w:pPr>
      <w:r>
        <w:rPr>
          <w:rFonts w:ascii="Arial" w:cs="Arial" w:eastAsia="Arial" w:hAnsi="Arial"/>
          <w:sz w:val="16"/>
          <w:szCs w:val="16"/>
          <w:b w:val="1"/>
          <w:bCs w:val="1"/>
          <w:color w:val="auto"/>
        </w:rPr>
        <w:t>Exchange Provision:</w:t>
      </w:r>
      <w:r>
        <w:rPr>
          <w:sz w:val="20"/>
          <w:szCs w:val="20"/>
          <w:color w:val="auto"/>
        </w:rPr>
        <w:tab/>
      </w:r>
      <w:r>
        <w:rPr>
          <w:rFonts w:ascii="Arial" w:cs="Arial" w:eastAsia="Arial" w:hAnsi="Arial"/>
          <w:sz w:val="16"/>
          <w:szCs w:val="16"/>
          <w:color w:val="auto"/>
        </w:rPr>
        <w:t>At any time after the date on which an Acquiring Person beneficially owns fifteen percent ([●]%)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246" w:lineRule="exact"/>
        <w:rPr>
          <w:sz w:val="20"/>
          <w:szCs w:val="20"/>
          <w:color w:val="auto"/>
        </w:rPr>
      </w:pPr>
    </w:p>
    <w:p>
      <w:pPr>
        <w:ind w:left="2500" w:right="700" w:hanging="2483"/>
        <w:spacing w:after="0" w:line="268" w:lineRule="auto"/>
        <w:tabs>
          <w:tab w:leader="none" w:pos="2480" w:val="left"/>
        </w:tabs>
        <w:rPr>
          <w:sz w:val="20"/>
          <w:szCs w:val="20"/>
          <w:color w:val="auto"/>
        </w:rPr>
      </w:pPr>
      <w:r>
        <w:rPr>
          <w:rFonts w:ascii="Arial" w:cs="Arial" w:eastAsia="Arial" w:hAnsi="Arial"/>
          <w:sz w:val="16"/>
          <w:szCs w:val="16"/>
          <w:b w:val="1"/>
          <w:bCs w:val="1"/>
          <w:color w:val="auto"/>
        </w:rPr>
        <w:t>Expiration of the Rights:</w:t>
      </w:r>
      <w:r>
        <w:rPr>
          <w:sz w:val="20"/>
          <w:szCs w:val="20"/>
          <w:color w:val="auto"/>
        </w:rPr>
        <w:tab/>
      </w:r>
      <w:r>
        <w:rPr>
          <w:rFonts w:ascii="Arial" w:cs="Arial" w:eastAsia="Arial" w:hAnsi="Arial"/>
          <w:sz w:val="16"/>
          <w:szCs w:val="16"/>
          <w:color w:val="auto"/>
        </w:rPr>
        <w:t>The Rights expire on the earliest of (1) 5:00 p.m., New York City time, on June 10, 2027 or (2) the redemption or exchange of the Rights as described above.</w:t>
      </w:r>
    </w:p>
    <w:p>
      <w:pPr>
        <w:spacing w:after="0" w:line="22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b w:val="1"/>
          <w:bCs w:val="1"/>
          <w:color w:val="auto"/>
        </w:rPr>
        <w:t xml:space="preserve">Amendment of Terms of the </w:t>
      </w:r>
      <w:r>
        <w:rPr>
          <w:rFonts w:ascii="Arial" w:cs="Arial" w:eastAsia="Arial" w:hAnsi="Arial"/>
          <w:sz w:val="16"/>
          <w:szCs w:val="16"/>
          <w:color w:val="auto"/>
        </w:rPr>
        <w:t>The terms of the Rights and the Rights Agreement may be amended in any respect without the consent of the holders of</w:t>
      </w:r>
      <w:r>
        <w:rPr>
          <w:rFonts w:ascii="Arial" w:cs="Arial" w:eastAsia="Arial" w:hAnsi="Arial"/>
          <w:sz w:val="16"/>
          <w:szCs w:val="16"/>
          <w:b w:val="1"/>
          <w:bCs w:val="1"/>
          <w:color w:val="auto"/>
        </w:rPr>
        <w:t xml:space="preserve"> Rights Agreement and Rights: </w:t>
      </w:r>
      <w:r>
        <w:rPr>
          <w:rFonts w:ascii="Arial" w:cs="Arial" w:eastAsia="Arial" w:hAnsi="Arial"/>
          <w:sz w:val="16"/>
          <w:szCs w:val="16"/>
          <w:color w:val="auto"/>
        </w:rPr>
        <w:t>the Rights on or prior to the Distribution Date. Thereafter, the terms of the Rights and the Rights Agreement may be</w:t>
      </w:r>
    </w:p>
    <w:p>
      <w:pPr>
        <w:ind w:left="2500" w:right="60"/>
        <w:spacing w:after="0" w:line="237" w:lineRule="auto"/>
        <w:rPr>
          <w:sz w:val="20"/>
          <w:szCs w:val="20"/>
          <w:color w:val="auto"/>
        </w:rPr>
      </w:pPr>
      <w:r>
        <w:rPr>
          <w:rFonts w:ascii="Arial" w:cs="Arial" w:eastAsia="Arial" w:hAnsi="Arial"/>
          <w:sz w:val="16"/>
          <w:szCs w:val="16"/>
          <w:color w:val="auto"/>
        </w:rPr>
        <w:t>amended without the consent of the holders of Rights in order to (1) cure any ambiguities, (2) shorten or lengthen any time period pursuant to the Rights Agreement or (3) make changes that do not adversely affect the interests of holders of</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Rights.</w:t>
      </w:r>
    </w:p>
    <w:p>
      <w:pPr>
        <w:sectPr>
          <w:pgSz w:w="11900" w:h="16838" w:orient="portrait"/>
          <w:cols w:equalWidth="0" w:num="1">
            <w:col w:w="11200"/>
          </w:cols>
          <w:pgMar w:left="340" w:top="1440" w:right="359" w:bottom="1440" w:gutter="0" w:footer="0" w:header="0"/>
        </w:sectPr>
      </w:pPr>
    </w:p>
    <w:p>
      <w:pPr>
        <w:spacing w:after="0" w:line="246"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b w:val="1"/>
          <w:bCs w:val="1"/>
          <w:color w:val="auto"/>
        </w:rPr>
        <w:t>Voting Rights; Other Stockholder Rights: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The Rights will not have any voting rights. Until a Right is exercised, the holder thereof, as such, will have no separate rights as stockholder of the Company.</w:t>
      </w:r>
    </w:p>
    <w:p>
      <w:pPr>
        <w:spacing w:after="0" w:line="216" w:lineRule="exact"/>
        <w:rPr>
          <w:sz w:val="20"/>
          <w:szCs w:val="20"/>
          <w:color w:val="auto"/>
        </w:rPr>
      </w:pPr>
    </w:p>
    <w:p>
      <w:pPr>
        <w:sectPr>
          <w:pgSz w:w="11900" w:h="16838" w:orient="portrait"/>
          <w:cols w:equalWidth="0" w:num="2">
            <w:col w:w="1780" w:space="720"/>
            <w:col w:w="8700"/>
          </w:cols>
          <w:pgMar w:left="340" w:top="1440" w:right="3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Anti-Dilution Provisions:</w:t>
      </w:r>
    </w:p>
    <w:p>
      <w:pPr>
        <w:spacing w:after="0" w:line="20" w:lineRule="exact"/>
        <w:rPr>
          <w:sz w:val="20"/>
          <w:szCs w:val="20"/>
          <w:color w:val="auto"/>
        </w:rPr>
      </w:pPr>
      <w:r>
        <w:rPr>
          <w:sz w:val="20"/>
          <w:szCs w:val="20"/>
          <w:color w:val="auto"/>
        </w:rPr>
        <w:br w:type="column"/>
      </w:r>
    </w:p>
    <w:p>
      <w:pPr>
        <w:ind w:right="540"/>
        <w:spacing w:after="0" w:line="254" w:lineRule="auto"/>
        <w:rPr>
          <w:sz w:val="20"/>
          <w:szCs w:val="20"/>
          <w:color w:val="auto"/>
        </w:rPr>
      </w:pPr>
      <w:r>
        <w:rPr>
          <w:rFonts w:ascii="Arial" w:cs="Arial" w:eastAsia="Arial" w:hAnsi="Arial"/>
          <w:sz w:val="16"/>
          <w:szCs w:val="16"/>
          <w:color w:val="auto"/>
        </w:rPr>
        <w:t>The Board may adjust the Exercise Price, the number of shares of Preferred Stock issuable and the number of outstanding Rights to prevent dilution that may occur from a stock dividend, a stock split or a reclassification of the</w:t>
      </w:r>
    </w:p>
    <w:p>
      <w:pPr>
        <w:spacing w:after="0" w:line="1" w:lineRule="exact"/>
        <w:rPr>
          <w:sz w:val="20"/>
          <w:szCs w:val="20"/>
          <w:color w:val="auto"/>
        </w:rPr>
      </w:pPr>
    </w:p>
    <w:p>
      <w:pPr>
        <w:sectPr>
          <w:pgSz w:w="11900" w:h="16838" w:orient="portrait"/>
          <w:cols w:equalWidth="0" w:num="2">
            <w:col w:w="1900" w:space="600"/>
            <w:col w:w="8700"/>
          </w:cols>
          <w:pgMar w:left="340" w:top="1440" w:right="359" w:bottom="1440" w:gutter="0" w:footer="0" w:header="0"/>
          <w:type w:val="continuous"/>
        </w:sectPr>
      </w:pPr>
    </w:p>
    <w:p>
      <w:pPr>
        <w:ind w:left="2500"/>
        <w:spacing w:after="0"/>
        <w:rPr>
          <w:sz w:val="20"/>
          <w:szCs w:val="20"/>
          <w:color w:val="auto"/>
        </w:rPr>
      </w:pPr>
      <w:r>
        <w:rPr>
          <w:rFonts w:ascii="Arial" w:cs="Arial" w:eastAsia="Arial" w:hAnsi="Arial"/>
          <w:sz w:val="16"/>
          <w:szCs w:val="16"/>
          <w:color w:val="auto"/>
        </w:rPr>
        <w:t>Preferred Stock or Common Stock.</w:t>
      </w:r>
    </w:p>
    <w:p>
      <w:pPr>
        <w:spacing w:after="0" w:line="14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With certain exceptions, no adjustments to the Exercise Price will be made until the cumulative adjustments amount to at</w:t>
      </w:r>
    </w:p>
    <w:p>
      <w:pPr>
        <w:spacing w:after="0" w:line="21" w:lineRule="exact"/>
        <w:rPr>
          <w:sz w:val="20"/>
          <w:szCs w:val="20"/>
          <w:color w:val="auto"/>
        </w:rPr>
      </w:pPr>
    </w:p>
    <w:p>
      <w:pPr>
        <w:ind w:left="2500" w:right="400"/>
        <w:spacing w:after="0" w:line="248" w:lineRule="auto"/>
        <w:rPr>
          <w:sz w:val="20"/>
          <w:szCs w:val="20"/>
          <w:color w:val="auto"/>
        </w:rPr>
      </w:pPr>
      <w:r>
        <w:rPr>
          <w:rFonts w:ascii="Arial" w:cs="Arial" w:eastAsia="Arial" w:hAnsi="Arial"/>
          <w:sz w:val="16"/>
          <w:szCs w:val="16"/>
          <w:color w:val="auto"/>
        </w:rPr>
        <w:t>least one percent of the Exercise Price. No fractional shares of Preferred Stock will be issued and, in lieu thereof, an adjustment in cash will be made based on the current market price of the Preferred Stock.</w:t>
      </w:r>
    </w:p>
    <w:p>
      <w:pPr>
        <w:sectPr>
          <w:pgSz w:w="11900" w:h="16838" w:orient="portrait"/>
          <w:cols w:equalWidth="0" w:num="1">
            <w:col w:w="11200"/>
          </w:cols>
          <w:pgMar w:left="340" w:top="1440" w:right="35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distribution of Rights should not be taxable for federal income tax purposes. However, following an event that renders the Rights exercisable or upon redemption of the Rights, stockholders may recognize taxable income.</w:t>
      </w:r>
    </w:p>
    <w:p>
      <w:pPr>
        <w:sectPr>
          <w:pgSz w:w="11900" w:h="16838" w:orient="portrait"/>
          <w:cols w:equalWidth="0" w:num="2">
            <w:col w:w="1780" w:space="720"/>
            <w:col w:w="8700"/>
          </w:cols>
          <w:pgMar w:left="340" w:top="1440"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20"/>
                <w:szCs w:val="20"/>
                <w:color w:val="auto"/>
              </w:rPr>
            </w:pPr>
            <w:r>
              <w:rPr>
                <w:rFonts w:ascii="Arial" w:cs="Arial" w:eastAsia="Arial" w:hAnsi="Arial"/>
                <w:sz w:val="16"/>
                <w:szCs w:val="16"/>
                <w:b w:val="1"/>
                <w:bCs w:val="1"/>
                <w:color w:val="auto"/>
              </w:rPr>
              <w:t>Item 2. Exhibits</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20" w:type="dxa"/>
            <w:vAlign w:val="bottom"/>
          </w:tcPr>
          <w:p>
            <w:pPr>
              <w:jc w:val="center"/>
              <w:ind w:right="2479"/>
              <w:spacing w:after="0" w:line="170" w:lineRule="exact"/>
              <w:rPr>
                <w:sz w:val="20"/>
                <w:szCs w:val="20"/>
                <w:color w:val="auto"/>
              </w:rPr>
            </w:pPr>
            <w:r>
              <w:rPr>
                <w:rFonts w:ascii="Arial" w:cs="Arial" w:eastAsia="Arial" w:hAnsi="Arial"/>
                <w:sz w:val="16"/>
                <w:szCs w:val="16"/>
                <w:b w:val="1"/>
                <w:bCs w:val="1"/>
                <w:color w:val="auto"/>
              </w:rPr>
              <w:t>Exhibit</w:t>
            </w:r>
          </w:p>
        </w:tc>
        <w:tc>
          <w:tcPr>
            <w:tcW w:w="3120" w:type="dxa"/>
            <w:vAlign w:val="bottom"/>
            <w:vMerge w:val="restart"/>
          </w:tcPr>
          <w:p>
            <w:pPr>
              <w:ind w:left="2220"/>
              <w:spacing w:after="0"/>
              <w:rPr>
                <w:sz w:val="20"/>
                <w:szCs w:val="20"/>
                <w:color w:val="auto"/>
              </w:rPr>
            </w:pPr>
            <w:r>
              <w:rPr>
                <w:rFonts w:ascii="Arial" w:cs="Arial" w:eastAsia="Arial" w:hAnsi="Arial"/>
                <w:sz w:val="16"/>
                <w:szCs w:val="16"/>
                <w:b w:val="1"/>
                <w:bCs w:val="1"/>
                <w:color w:val="auto"/>
                <w:w w:val="99"/>
              </w:rPr>
              <w:t>Description</w:t>
            </w:r>
          </w:p>
        </w:tc>
        <w:tc>
          <w:tcPr>
            <w:tcW w:w="0" w:type="dxa"/>
            <w:vAlign w:val="bottom"/>
          </w:tcPr>
          <w:p>
            <w:pPr>
              <w:spacing w:after="0"/>
              <w:rPr>
                <w:sz w:val="1"/>
                <w:szCs w:val="1"/>
                <w:color w:val="auto"/>
              </w:rPr>
            </w:pPr>
          </w:p>
        </w:tc>
      </w:tr>
      <w:tr>
        <w:trPr>
          <w:trHeight w:val="223"/>
        </w:trPr>
        <w:tc>
          <w:tcPr>
            <w:tcW w:w="3420" w:type="dxa"/>
            <w:vAlign w:val="bottom"/>
          </w:tcPr>
          <w:p>
            <w:pPr>
              <w:jc w:val="center"/>
              <w:ind w:right="2479"/>
              <w:spacing w:after="0"/>
              <w:rPr>
                <w:sz w:val="20"/>
                <w:szCs w:val="20"/>
                <w:color w:val="auto"/>
              </w:rPr>
            </w:pPr>
            <w:r>
              <w:rPr>
                <w:rFonts w:ascii="Arial" w:cs="Arial" w:eastAsia="Arial" w:hAnsi="Arial"/>
                <w:sz w:val="16"/>
                <w:szCs w:val="16"/>
                <w:b w:val="1"/>
                <w:bCs w:val="1"/>
                <w:color w:val="auto"/>
              </w:rPr>
              <w:t>No.</w:t>
            </w: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0"/>
        <w:spacing w:after="0"/>
        <w:tabs>
          <w:tab w:leader="none" w:pos="940" w:val="left"/>
        </w:tabs>
        <w:rPr>
          <w:rFonts w:ascii="Arial" w:cs="Arial" w:eastAsia="Arial" w:hAnsi="Arial"/>
          <w:sz w:val="16"/>
          <w:szCs w:val="16"/>
          <w:color w:val="auto"/>
        </w:rPr>
      </w:pPr>
      <w:hyperlink r:id="rId9">
        <w:r>
          <w:rPr>
            <w:rFonts w:ascii="Arial" w:cs="Arial" w:eastAsia="Arial" w:hAnsi="Arial"/>
            <w:sz w:val="16"/>
            <w:szCs w:val="16"/>
            <w:color w:val="auto"/>
          </w:rPr>
          <w:t>3.1</w:t>
        </w:r>
      </w:hyperlink>
      <w:r>
        <w:rPr>
          <w:rFonts w:ascii="Arial" w:cs="Arial" w:eastAsia="Arial" w:hAnsi="Arial"/>
          <w:sz w:val="16"/>
          <w:szCs w:val="16"/>
          <w:color w:val="auto"/>
        </w:rPr>
        <w:tab/>
      </w:r>
      <w:hyperlink r:id="rId9">
        <w:r>
          <w:rPr>
            <w:rFonts w:ascii="Arial" w:cs="Arial" w:eastAsia="Arial" w:hAnsi="Arial"/>
            <w:sz w:val="16"/>
            <w:szCs w:val="16"/>
            <w:color w:val="auto"/>
          </w:rPr>
          <w:t>Certificate of Designation of Rights, Preferences and Privileges of Series AA Participating Preferred Stock (incorporated by reference to Exhibit</w:t>
        </w:r>
      </w:hyperlink>
    </w:p>
    <w:p>
      <w:pPr>
        <w:spacing w:after="0" w:line="21" w:lineRule="exact"/>
        <w:rPr>
          <w:sz w:val="20"/>
          <w:szCs w:val="20"/>
          <w:color w:val="auto"/>
        </w:rPr>
      </w:pPr>
    </w:p>
    <w:p>
      <w:pPr>
        <w:ind w:left="960"/>
        <w:spacing w:after="0"/>
        <w:rPr>
          <w:rFonts w:ascii="Arial" w:cs="Arial" w:eastAsia="Arial" w:hAnsi="Arial"/>
          <w:sz w:val="16"/>
          <w:szCs w:val="16"/>
          <w:color w:val="auto"/>
        </w:rPr>
      </w:pPr>
      <w:hyperlink r:id="rId9">
        <w:r>
          <w:rPr>
            <w:rFonts w:ascii="Arial" w:cs="Arial" w:eastAsia="Arial" w:hAnsi="Arial"/>
            <w:sz w:val="16"/>
            <w:szCs w:val="16"/>
            <w:color w:val="auto"/>
          </w:rPr>
          <w:t>3.1 to the Current Report on Form 8-K filed by the Company with the Securities and Exchange Commission on June 12, 2026).</w:t>
        </w:r>
      </w:hyperlink>
    </w:p>
    <w:p>
      <w:pPr>
        <w:spacing w:after="0" w:line="30" w:lineRule="exact"/>
        <w:rPr>
          <w:sz w:val="20"/>
          <w:szCs w:val="20"/>
          <w:color w:val="auto"/>
        </w:rPr>
      </w:pPr>
    </w:p>
    <w:p>
      <w:pPr>
        <w:jc w:val="center"/>
        <w:ind w:right="-199"/>
        <w:spacing w:after="0"/>
        <w:tabs>
          <w:tab w:leader="none" w:pos="120" w:val="left"/>
        </w:tabs>
        <w:rPr>
          <w:rFonts w:ascii="Arial" w:cs="Arial" w:eastAsia="Arial" w:hAnsi="Arial"/>
          <w:sz w:val="16"/>
          <w:szCs w:val="16"/>
          <w:color w:val="auto"/>
        </w:rPr>
      </w:pPr>
      <w:hyperlink r:id="rId10">
        <w:r>
          <w:rPr>
            <w:rFonts w:ascii="Arial" w:cs="Arial" w:eastAsia="Arial" w:hAnsi="Arial"/>
            <w:sz w:val="16"/>
            <w:szCs w:val="16"/>
            <w:color w:val="auto"/>
          </w:rPr>
          <w:t>4.1</w:t>
        </w:r>
      </w:hyperlink>
      <w:r>
        <w:rPr>
          <w:rFonts w:ascii="Arial" w:cs="Arial" w:eastAsia="Arial" w:hAnsi="Arial"/>
          <w:sz w:val="16"/>
          <w:szCs w:val="16"/>
          <w:color w:val="auto"/>
        </w:rPr>
        <w:tab/>
      </w:r>
      <w:hyperlink r:id="rId10">
        <w:r>
          <w:rPr>
            <w:rFonts w:ascii="Arial" w:cs="Arial" w:eastAsia="Arial" w:hAnsi="Arial"/>
            <w:sz w:val="16"/>
            <w:szCs w:val="16"/>
            <w:color w:val="auto"/>
          </w:rPr>
          <w:t>Preferred Stock Rights Agreement, dated as of June 11, 2026, by and between HF Foods Group Inc. and Equiniti Trust Company, LLC,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 w:lineRule="exact"/>
        <w:rPr>
          <w:sz w:val="20"/>
          <w:szCs w:val="20"/>
          <w:color w:val="auto"/>
        </w:rPr>
      </w:pPr>
    </w:p>
    <w:p>
      <w:pPr>
        <w:ind w:left="960" w:right="760"/>
        <w:spacing w:after="0" w:line="248" w:lineRule="auto"/>
        <w:rPr>
          <w:rFonts w:ascii="Arial" w:cs="Arial" w:eastAsia="Arial" w:hAnsi="Arial"/>
          <w:sz w:val="16"/>
          <w:szCs w:val="16"/>
          <w:color w:val="auto"/>
        </w:rPr>
      </w:pPr>
      <w:hyperlink r:id="rId10">
        <w:r>
          <w:rPr>
            <w:rFonts w:ascii="Arial" w:cs="Arial" w:eastAsia="Arial" w:hAnsi="Arial"/>
            <w:sz w:val="16"/>
            <w:szCs w:val="16"/>
            <w:color w:val="auto"/>
          </w:rPr>
          <w:t>rights agent (incorporated by reference to Exhibit 4.1 to the Current Report on Form 8-K filed by the Company with the Securities and</w:t>
        </w:r>
      </w:hyperlink>
      <w:r>
        <w:rPr>
          <w:rFonts w:ascii="Arial" w:cs="Arial" w:eastAsia="Arial" w:hAnsi="Arial"/>
          <w:sz w:val="16"/>
          <w:szCs w:val="16"/>
          <w:color w:val="auto"/>
        </w:rPr>
        <w:t xml:space="preserve"> </w:t>
      </w:r>
      <w:hyperlink r:id="rId10">
        <w:r>
          <w:rPr>
            <w:rFonts w:ascii="Arial" w:cs="Arial" w:eastAsia="Arial" w:hAnsi="Arial"/>
            <w:sz w:val="16"/>
            <w:szCs w:val="16"/>
            <w:color w:val="auto"/>
          </w:rPr>
          <w:t>Exchange Commission on June 12, 2026).*</w:t>
        </w:r>
      </w:hyperlink>
    </w:p>
    <w:p>
      <w:pPr>
        <w:spacing w:after="0" w:line="31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HF FOODS GROUP INC.</w:t>
      </w:r>
    </w:p>
    <w:p>
      <w:pPr>
        <w:spacing w:after="0" w:line="316"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6"/>
          <w:szCs w:val="16"/>
          <w:color w:val="auto"/>
        </w:rPr>
        <w:t>Date: June 12, 2026</w:t>
      </w:r>
      <w:r>
        <w:rPr>
          <w:sz w:val="20"/>
          <w:szCs w:val="20"/>
          <w:color w:val="auto"/>
        </w:rPr>
        <w:tab/>
      </w:r>
      <w:r>
        <w:rPr>
          <w:rFonts w:ascii="Arial" w:cs="Arial" w:eastAsia="Arial" w:hAnsi="Arial"/>
          <w:sz w:val="16"/>
          <w:szCs w:val="16"/>
          <w:color w:val="auto"/>
        </w:rPr>
        <w:t>By: /s/ Paul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29210</wp:posOffset>
            </wp:positionV>
            <wp:extent cx="400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3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Paul McGarry</w:t>
      </w:r>
    </w:p>
    <w:p>
      <w:pPr>
        <w:spacing w:after="0" w:line="4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s://www.sec.gov/Archives/edgar/data/1680873/000168087326000037/exhibit31-certificateofd.htm" TargetMode="External"/><Relationship Id="rId10" Type="http://schemas.openxmlformats.org/officeDocument/2006/relationships/hyperlink" Target="https://www.sec.gov/Archives/edgar/data/1680873/000168087326000037/exhibit41-preferredsto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2026-06-12T16:33:21Z</dcterms:created>
  <dcterms:modified xsi:type="dcterms:W3CDTF">2026-06-12T16:33:21Z</dcterms:modified>
</cp:coreProperties>
</file>