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240" w:after="283"/>
        <w:jc w:val="center"/>
        <w:rPr/>
      </w:pPr>
      <w:r>
        <w:rPr>
          <w:color w:val="000000"/>
        </w:rPr>
        <w:t>☒ </w:t>
      </w:r>
      <w:r>
        <w:rPr>
          <w:rFonts w:ascii="Times New Roman;sans-serif" w:hAnsi="Times New Roman;sans-serif"/>
          <w:b/>
          <w:color w:val="000000"/>
          <w:sz w:val="20"/>
        </w:rPr>
        <w:t>QUARTERLY REPORT PURSUANT TO SECTION 13 OR 15(d) OF THE SECURITIES EXCHANGE ACT OF 1934</w:t>
      </w:r>
      <w:r>
        <w:rPr>
          <w:color w:val="000000"/>
        </w:rPr>
        <w:t>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240" w:after="283"/>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160" w:after="283"/>
        <w:jc w:val="center"/>
        <w:rPr/>
      </w:pPr>
      <w:r>
        <w:rPr>
          <w:rFonts w:ascii="Times New Roman;sans-serif" w:hAnsi="Times New Roman;sans-serif"/>
          <w:b w:val="false"/>
          <w:color w:val="000000"/>
          <w:sz w:val="20"/>
        </w:rPr>
        <w:t xml:space="preserve">For the transition period from </w:t>
      </w:r>
      <w:r>
        <w:rPr>
          <w:rFonts w:ascii="Times New Roman;sans-serif" w:hAnsi="Times New Roman;sans-serif"/>
          <w:b w:val="false"/>
          <w:color w:val="000000"/>
          <w:sz w:val="12"/>
        </w:rPr>
        <w:t xml:space="preserve">_______________________ </w:t>
      </w:r>
      <w:r>
        <w:rPr>
          <w:rFonts w:ascii="Times New Roman;sans-serif" w:hAnsi="Times New Roman;sans-serif"/>
          <w:b w:val="false"/>
          <w:color w:val="000000"/>
          <w:sz w:val="20"/>
        </w:rPr>
        <w:t xml:space="preserve">to </w:t>
      </w:r>
      <w:r>
        <w:rPr>
          <w:rFonts w:ascii="Times New Roman;sans-serif" w:hAnsi="Times New Roman;sans-serif"/>
          <w:b w:val="false"/>
          <w:color w:val="000000"/>
          <w:sz w:val="12"/>
        </w:rPr>
        <w:t>_______________________</w:t>
      </w:r>
      <w:r>
        <w:rPr>
          <w:rFonts w:ascii="Times New Roman;sans-serif" w:hAnsi="Times New Roman;sans-serif"/>
          <w:b w:val="false"/>
          <w:color w:val="000000"/>
          <w:sz w:val="20"/>
        </w:rPr>
        <w:t>.</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001-38180</w:t>
      </w:r>
    </w:p>
    <w:p>
      <w:pPr>
        <w:pStyle w:val="TextBody"/>
        <w:bidi w:val="0"/>
        <w:spacing w:lineRule="auto" w:line="288" w:before="16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__________________________________________________________________________</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HF FOODS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9"/>
        <w:gridCol w:w="1581"/>
        <w:gridCol w:w="1585"/>
        <w:gridCol w:w="886"/>
        <w:gridCol w:w="886"/>
        <w:gridCol w:w="1257"/>
      </w:tblGrid>
      <w:tr>
        <w:trPr/>
        <w:tc>
          <w:tcPr>
            <w:tcW w:w="179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81-2717873</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7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6325 South Rainbow Boulevard, Suite 420, Las Vegas, NV 89118</w:t>
            </w:r>
          </w:p>
        </w:tc>
      </w:tr>
      <w:tr>
        <w:trPr/>
        <w:tc>
          <w:tcPr>
            <w:tcW w:w="79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(888) 905-0988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63" w:type="dxa"/>
        <w:jc w:val="left"/>
        <w:tblInd w:w="0" w:type="dxa"/>
        <w:tblLayout w:type="fixed"/>
        <w:tblCellMar>
          <w:top w:w="28" w:type="dxa"/>
          <w:left w:w="28" w:type="dxa"/>
          <w:bottom w:w="28" w:type="dxa"/>
          <w:right w:w="28" w:type="dxa"/>
        </w:tblCellMar>
      </w:tblPr>
      <w:tblGrid>
        <w:gridCol w:w="1062"/>
        <w:gridCol w:w="933"/>
        <w:gridCol w:w="944"/>
        <w:gridCol w:w="499"/>
        <w:gridCol w:w="499"/>
        <w:gridCol w:w="501"/>
        <w:gridCol w:w="1118"/>
        <w:gridCol w:w="1118"/>
        <w:gridCol w:w="1589"/>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149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HFFG</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49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26"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5, 2024, the registrant had 52,730,183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June 30, 2024</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820" w:type="dxa"/>
        <w:jc w:val="left"/>
        <w:tblInd w:w="0" w:type="dxa"/>
        <w:tblLayout w:type="fixed"/>
        <w:tblCellMar>
          <w:top w:w="28" w:type="dxa"/>
          <w:left w:w="28" w:type="dxa"/>
          <w:bottom w:w="28" w:type="dxa"/>
          <w:right w:w="28" w:type="dxa"/>
        </w:tblCellMar>
      </w:tblPr>
      <w:tblGrid>
        <w:gridCol w:w="320"/>
        <w:gridCol w:w="281"/>
        <w:gridCol w:w="283"/>
        <w:gridCol w:w="2439"/>
        <w:gridCol w:w="2439"/>
        <w:gridCol w:w="248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2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27">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0">
              <w:r>
                <w:rPr>
                  <w:rStyle w:val="InternetLink"/>
                  <w:rFonts w:ascii="Times New Roman;sans-serif" w:hAnsi="Times New Roman;sans-serif"/>
                  <w:b/>
                  <w:strike w:val="false"/>
                  <w:dstrike w:val="false"/>
                  <w:color w:val="000000"/>
                  <w:sz w:val="20"/>
                  <w:u w:val="none"/>
                  <w:effect w:val="none"/>
                </w:rPr>
                <w:t>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3">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6">
              <w:r>
                <w:rPr>
                  <w:rStyle w:val="InternetLink"/>
                  <w:rFonts w:ascii="Times New Roman;sans-serif" w:hAnsi="Times New Roman;sans-serif"/>
                  <w:b w:val="false"/>
                  <w:strike w:val="false"/>
                  <w:dstrike w:val="false"/>
                  <w:color w:val="000000"/>
                  <w:sz w:val="20"/>
                  <w:u w:val="none"/>
                  <w:effect w:val="non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6">
              <w:r>
                <w:rPr>
                  <w:rStyle w:val="InternetLink"/>
                  <w:rFonts w:ascii="Times New Roman;sans-serif" w:hAnsi="Times New Roman;sans-serif"/>
                  <w:b w:val="false"/>
                  <w:strike w:val="false"/>
                  <w:dstrike w:val="false"/>
                  <w:color w:val="000000"/>
                  <w:sz w:val="20"/>
                  <w:u w:val="none"/>
                  <w:effect w:val="non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2">
              <w:r>
                <w:rPr>
                  <w:rStyle w:val="InternetLink"/>
                  <w:rFonts w:ascii="Times New Roman;sans-serif" w:hAnsi="Times New Roman;sans-serif"/>
                  <w:b w:val="false"/>
                  <w:strike w:val="false"/>
                  <w:dstrike w:val="false"/>
                  <w:color w:val="000000"/>
                  <w:sz w:val="20"/>
                  <w:u w:val="none"/>
                  <w:effect w:val="none"/>
                </w:rPr>
                <w:t xml:space="preserve">Condensed Consolidated Statements of Operations and Comprehensive </w:t>
              </w:r>
            </w:hyperlink>
            <w:r>
              <w:rPr>
                <w:rFonts w:ascii="Times New Roman;sans-serif" w:hAnsi="Times New Roman;sans-serif"/>
                <w:b w:val="false"/>
                <w:color w:val="000000"/>
                <w:sz w:val="20"/>
              </w:rPr>
              <w:t xml:space="preserve">Loss </w:t>
            </w:r>
            <w:hyperlink w:anchor="idbe3c546eb2f4864bef22bf6f1cc5d9c_193">
              <w:r>
                <w:rPr>
                  <w:rStyle w:val="InternetLink"/>
                  <w:rFonts w:ascii="Times New Roman;sans-serif" w:hAnsi="Times New Roman;sans-serif"/>
                  <w:b w:val="false"/>
                  <w:strike w:val="false"/>
                  <w:dstrike w:val="false"/>
                  <w:color w:val="000000"/>
                  <w:sz w:val="20"/>
                  <w:u w:val="none"/>
                  <w:effect w:val="none"/>
                </w:rPr>
                <w:t>(Unaudited)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22">
              <w:r>
                <w:rPr>
                  <w:rStyle w:val="InternetLink"/>
                  <w:rFonts w:ascii="Times New Roman;sans-serif" w:hAnsi="Times New Roman;sans-serif"/>
                  <w:b w:val="false"/>
                  <w:strike w:val="false"/>
                  <w:dstrike w:val="false"/>
                  <w:color w:val="000000"/>
                  <w:sz w:val="20"/>
                  <w:u w:val="none"/>
                  <w:effect w:val="none"/>
                </w:rPr>
                <w:t>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5">
              <w:r>
                <w:rPr>
                  <w:rStyle w:val="InternetLink"/>
                  <w:rFonts w:ascii="Times New Roman;sans-serif" w:hAnsi="Times New Roman;sans-serif"/>
                  <w:b w:val="false"/>
                  <w:strike w:val="false"/>
                  <w:dstrike w:val="false"/>
                  <w:color w:val="000000"/>
                  <w:sz w:val="20"/>
                  <w:u w:val="none"/>
                  <w:effect w:val="none"/>
                </w:rPr>
                <w:t>Condensed Consolidated Statements of Cash Flows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25">
              <w:r>
                <w:rPr>
                  <w:rStyle w:val="InternetLink"/>
                  <w:rFonts w:ascii="Times New Roman;sans-serif" w:hAnsi="Times New Roman;sans-serif"/>
                  <w:b w:val="false"/>
                  <w:strike w:val="false"/>
                  <w:dstrike w:val="false"/>
                  <w:color w:val="000000"/>
                  <w:sz w:val="20"/>
                  <w:u w:val="none"/>
                  <w:effect w:val="none"/>
                </w:rPr>
                <w:t>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8">
              <w:r>
                <w:rPr>
                  <w:rStyle w:val="InternetLink"/>
                  <w:rFonts w:ascii="Times New Roman;sans-serif" w:hAnsi="Times New Roman;sans-serif"/>
                  <w:b w:val="false"/>
                  <w:strike w:val="false"/>
                  <w:dstrike w:val="false"/>
                  <w:color w:val="000000"/>
                  <w:sz w:val="20"/>
                  <w:u w:val="none"/>
                  <w:effect w:val="none"/>
                </w:rPr>
                <w:t>Condensed Consolidated Statements of Changes in Shareholders’ Equity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28">
              <w:r>
                <w:rPr>
                  <w:rStyle w:val="InternetLink"/>
                  <w:rFonts w:ascii="Times New Roman;sans-serif" w:hAnsi="Times New Roman;sans-serif"/>
                  <w:b w:val="false"/>
                  <w:strike w:val="false"/>
                  <w:dstrike w:val="false"/>
                  <w:color w:val="000000"/>
                  <w:sz w:val="20"/>
                  <w:u w:val="none"/>
                  <w:effect w:val="non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31">
              <w:r>
                <w:rPr>
                  <w:rStyle w:val="InternetLink"/>
                  <w:rFonts w:ascii="Times New Roman;sans-serif" w:hAnsi="Times New Roman;sans-serif"/>
                  <w:b w:val="false"/>
                  <w:strike w:val="false"/>
                  <w:dstrike w:val="false"/>
                  <w:color w:val="000000"/>
                  <w:sz w:val="20"/>
                  <w:u w:val="none"/>
                  <w:effect w:val="non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31">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24">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24">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Q</w:t>
            </w:r>
            <w:hyperlink w:anchor="idbe3c546eb2f4864bef22bf6f1cc5d9c_142">
              <w:r>
                <w:rPr>
                  <w:rStyle w:val="InternetLink"/>
                  <w:rFonts w:ascii="Times New Roman;sans-serif" w:hAnsi="Times New Roman;sans-serif"/>
                  <w:b w:val="false"/>
                  <w:strike w:val="false"/>
                  <w:dstrike w:val="false"/>
                  <w:color w:val="000000"/>
                  <w:sz w:val="20"/>
                  <w:u w:val="none"/>
                  <w:effect w:val="none"/>
                </w:rPr>
                <w:t>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42">
              <w:r>
                <w:rPr>
                  <w:rStyle w:val="InternetLink"/>
                  <w:rFonts w:ascii="Times New Roman;sans-serif" w:hAnsi="Times New Roman;sans-serif"/>
                  <w:b w:val="false"/>
                  <w:strike w:val="false"/>
                  <w:dstrike w:val="false"/>
                  <w:color w:val="000000"/>
                  <w:sz w:val="20"/>
                  <w:u w:val="none"/>
                  <w:effect w:val="none"/>
                </w:rPr>
                <w:t>28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45">
              <w:r>
                <w:rPr>
                  <w:rStyle w:val="InternetLink"/>
                  <w:rFonts w:ascii="Times New Roman;sans-serif" w:hAnsi="Times New Roman;sans-serif"/>
                  <w:b w:val="false"/>
                  <w:strike w:val="false"/>
                  <w:dstrike w:val="false"/>
                  <w:color w:val="000000"/>
                  <w:sz w:val="20"/>
                  <w:u w:val="none"/>
                  <w:effect w:val="none"/>
                </w:rPr>
                <w:t>28</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5">
              <w:r>
                <w:rPr>
                  <w:rStyle w:val="InternetLink"/>
                  <w:rFonts w:ascii="Times New Roman;sans-serif" w:hAnsi="Times New Roman;sans-serif"/>
                  <w:b/>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w:t>
            </w:r>
            <w:hyperlink w:anchor="idbe3c546eb2f4864bef22bf6f1cc5d9c_205">
              <w:r>
                <w:rPr>
                  <w:rStyle w:val="InternetLink"/>
                  <w:rFonts w:ascii="Times New Roman;sans-serif" w:hAnsi="Times New Roman;sans-serif"/>
                  <w:b w:val="false"/>
                  <w:strike w:val="false"/>
                  <w:dstrike w:val="false"/>
                  <w:color w:val="000000"/>
                  <w:sz w:val="20"/>
                  <w:u w:val="none"/>
                  <w:effect w:val="none"/>
                </w:rPr>
                <w:t>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51">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93">
              <w:r>
                <w:rPr>
                  <w:rStyle w:val="InternetLink"/>
                  <w:rFonts w:ascii="Times New Roman;sans-serif" w:hAnsi="Times New Roman;sans-serif"/>
                  <w:b w:val="false"/>
                  <w:strike w:val="false"/>
                  <w:dstrike w:val="false"/>
                  <w:color w:val="000000"/>
                  <w:sz w:val="20"/>
                  <w:u w:val="none"/>
                  <w:effect w:val="non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54">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57">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34">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60">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08">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63">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56">
              <w:r>
                <w:rPr>
                  <w:rStyle w:val="InternetLink"/>
                  <w:rFonts w:ascii="Times New Roman;sans-serif" w:hAnsi="Times New Roman;sans-serif"/>
                  <w:b w:val="false"/>
                  <w:strike w:val="false"/>
                  <w:dstrike w:val="false"/>
                  <w:color w:val="000000"/>
                  <w:sz w:val="20"/>
                  <w:u w:val="none"/>
                  <w:effect w:val="non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66">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169">
              <w:r>
                <w:rPr>
                  <w:rStyle w:val="InternetLink"/>
                  <w:rFonts w:ascii="Times New Roman;sans-serif" w:hAnsi="Times New Roman;sans-serif"/>
                  <w:b w:val="false"/>
                  <w:strike w:val="false"/>
                  <w:dstrike w:val="false"/>
                  <w:color w:val="000000"/>
                  <w:sz w:val="20"/>
                  <w:u w:val="none"/>
                  <w:effect w:val="non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69">
              <w:r>
                <w:rPr>
                  <w:rStyle w:val="InternetLink"/>
                  <w:rFonts w:ascii="Times New Roman;sans-serif" w:hAnsi="Times New Roman;sans-serif"/>
                  <w:b w:val="false"/>
                  <w:strike w:val="false"/>
                  <w:dstrike w:val="false"/>
                  <w:color w:val="000000"/>
                  <w:sz w:val="20"/>
                  <w:u w:val="none"/>
                  <w:effect w:val="none"/>
                </w:rPr>
                <w:t>31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be3c546eb2f4864bef22bf6f1cc5d9c_292">
              <w:r>
                <w:rPr>
                  <w:rStyle w:val="InternetLink"/>
                  <w:rFonts w:ascii="Times New Roman;sans-serif" w:hAnsi="Times New Roman;sans-serif"/>
                  <w:b/>
                  <w:strike w:val="false"/>
                  <w:dstrike w:val="false"/>
                  <w:color w:val="000000"/>
                  <w:sz w:val="20"/>
                  <w:u w:val="none"/>
                  <w:effect w:val="none"/>
                </w:rPr>
                <w:t>SIGNATURE PAGE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be3c546eb2f4864bef22bf6f1cc5d9c_172">
              <w:r>
                <w:rPr>
                  <w:rStyle w:val="InternetLink"/>
                  <w:rFonts w:ascii="Times New Roman;sans-serif" w:hAnsi="Times New Roman;sans-serif"/>
                  <w:b w:val="false"/>
                  <w:strike w:val="false"/>
                  <w:dstrike w:val="false"/>
                  <w:color w:val="000000"/>
                  <w:sz w:val="20"/>
                  <w:u w:val="none"/>
                  <w:effect w:val="non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4"/>
        <w:gridCol w:w="2252"/>
        <w:gridCol w:w="2271"/>
        <w:gridCol w:w="203"/>
        <w:gridCol w:w="780"/>
        <w:gridCol w:w="113"/>
        <w:gridCol w:w="109"/>
        <w:gridCol w:w="109"/>
        <w:gridCol w:w="109"/>
        <w:gridCol w:w="231"/>
        <w:gridCol w:w="888"/>
        <w:gridCol w:w="186"/>
      </w:tblGrid>
      <w:tr>
        <w:trPr/>
        <w:tc>
          <w:tcPr>
            <w:tcW w:w="295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$2,077 and $2,119</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193,611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178,827</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trade names and other intangibles,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616,867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596,520</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Line of credit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finance leases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obligations under operating leases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164,059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143,264</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 non-current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operating leases, non-current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328,076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308,537</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EQUITY:</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Participating Preferred Stock, par value $0.001; 100,000 shares authorized, no shares issued and outstanding</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1,000,000 shares authorized; no shares issued and outstanding</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Stock, $0.0001 par value; 100,000,000 shares authorized; 54,668,169 and 54,153,391 shares issued and 52,670,746 and 52,155,968 shares outstanding as of June 30, 2024 and December 31, 2023, respectively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1,997,423 shares as of June 30, 2024 and December 31, 2023</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(308,688)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 ATTRIBUTABLE TO HF FOODS GROUP INC.</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286,344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286,661</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288,791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287,983</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616,867</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596,520</w:t>
            </w:r>
            <w:r>
              <w:rPr>
                <w:color w:val="000000"/>
              </w:rPr>
              <w:t>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36270"/>
                <wp:effectExtent l="0" t="0" r="0" b="0"/>
                <wp:wrapNone/>
                <wp:docPr id="3" name="Frame3"/>
                <a:graphic xmlns:a="http://schemas.openxmlformats.org/drawingml/2006/main">
                  <a:graphicData uri="http://schemas.microsoft.com/office/word/2010/wordprocessingShape">
                    <wps:wsp>
                      <wps:cNvSpPr txBox="1"/>
                      <wps:spPr>
                        <a:xfrm>
                          <a:off x="0" y="0"/>
                          <a:ext cx="6480175" cy="636270"/>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60"/>
        <w:gridCol w:w="1276"/>
        <w:gridCol w:w="1281"/>
        <w:gridCol w:w="205"/>
        <w:gridCol w:w="771"/>
        <w:gridCol w:w="109"/>
        <w:gridCol w:w="109"/>
        <w:gridCol w:w="109"/>
        <w:gridCol w:w="109"/>
        <w:gridCol w:w="205"/>
        <w:gridCol w:w="771"/>
        <w:gridCol w:w="109"/>
        <w:gridCol w:w="109"/>
        <w:gridCol w:w="109"/>
        <w:gridCol w:w="109"/>
        <w:gridCol w:w="205"/>
        <w:gridCol w:w="771"/>
        <w:gridCol w:w="109"/>
        <w:gridCol w:w="109"/>
        <w:gridCol w:w="109"/>
        <w:gridCol w:w="109"/>
        <w:gridCol w:w="205"/>
        <w:gridCol w:w="771"/>
        <w:gridCol w:w="109"/>
        <w:gridCol w:w="109"/>
        <w:gridCol w:w="158"/>
      </w:tblGrid>
      <w:tr>
        <w:trPr/>
        <w:tc>
          <w:tcPr>
            <w:tcW w:w="206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third parties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 related parties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REVENUE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302,342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597,996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586,167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third parties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 related parties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 OF REVENUE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241,646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495,120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485,329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50,666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102,876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100,838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selling and administrative expenses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AND COMPREHENSIVE LOSS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AND COMPREHENSIVE LOSS ATTRIBUTABLE TO HF FOODS GROUP INC.</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 - BASIC</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 - DILUTED</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0.00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(0.13)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BASIC</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52,585,715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54,046,328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52,370,842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53,935,178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 DILUTED</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52,661,119</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54,046,328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52,370,842</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53,935,178</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271" w:type="dxa"/>
        <w:jc w:val="center"/>
        <w:tblInd w:w="0" w:type="dxa"/>
        <w:tblLayout w:type="fixed"/>
        <w:tblCellMar>
          <w:top w:w="28" w:type="dxa"/>
          <w:left w:w="28" w:type="dxa"/>
          <w:bottom w:w="28" w:type="dxa"/>
          <w:right w:w="28" w:type="dxa"/>
        </w:tblCellMar>
      </w:tblPr>
      <w:tblGrid>
        <w:gridCol w:w="2445"/>
        <w:gridCol w:w="2144"/>
        <w:gridCol w:w="2160"/>
        <w:gridCol w:w="196"/>
        <w:gridCol w:w="661"/>
        <w:gridCol w:w="109"/>
        <w:gridCol w:w="109"/>
        <w:gridCol w:w="109"/>
        <w:gridCol w:w="109"/>
        <w:gridCol w:w="196"/>
        <w:gridCol w:w="661"/>
        <w:gridCol w:w="109"/>
        <w:gridCol w:w="109"/>
        <w:gridCol w:w="154"/>
      </w:tblGrid>
      <w:tr>
        <w:trPr/>
        <w:tc>
          <w:tcPr>
            <w:tcW w:w="244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(7,357)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(used in)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interest rate swap contracts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guarantee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Changes in operating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related parties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related parties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operating activities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8,732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(6,331)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 withholding related to vested stock awards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Checks issued not presented for payment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line of credit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line of credit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obligations under finance leases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5,084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(16,553)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(9,343)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beginning of the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15,232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24,289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at end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13,968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14,946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acquired in exchange for finance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Dissolution of noncontrolling interests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13173" w:type="dxa"/>
        <w:jc w:val="left"/>
        <w:tblInd w:w="0" w:type="dxa"/>
        <w:tblLayout w:type="fixed"/>
        <w:tblCellMar>
          <w:top w:w="28" w:type="dxa"/>
          <w:left w:w="28" w:type="dxa"/>
          <w:bottom w:w="28" w:type="dxa"/>
          <w:right w:w="28" w:type="dxa"/>
        </w:tblCellMar>
      </w:tblPr>
      <w:tblGrid>
        <w:gridCol w:w="686"/>
        <w:gridCol w:w="234"/>
        <w:gridCol w:w="236"/>
        <w:gridCol w:w="488"/>
        <w:gridCol w:w="488"/>
        <w:gridCol w:w="196"/>
        <w:gridCol w:w="109"/>
        <w:gridCol w:w="109"/>
        <w:gridCol w:w="109"/>
        <w:gridCol w:w="241"/>
        <w:gridCol w:w="315"/>
        <w:gridCol w:w="135"/>
        <w:gridCol w:w="109"/>
        <w:gridCol w:w="109"/>
        <w:gridCol w:w="109"/>
        <w:gridCol w:w="443"/>
        <w:gridCol w:w="443"/>
        <w:gridCol w:w="196"/>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206"/>
        <w:gridCol w:w="790"/>
        <w:gridCol w:w="115"/>
        <w:gridCol w:w="109"/>
        <w:gridCol w:w="109"/>
        <w:gridCol w:w="109"/>
        <w:gridCol w:w="268"/>
        <w:gridCol w:w="782"/>
        <w:gridCol w:w="151"/>
        <w:gridCol w:w="109"/>
        <w:gridCol w:w="109"/>
        <w:gridCol w:w="109"/>
        <w:gridCol w:w="205"/>
        <w:gridCol w:w="788"/>
        <w:gridCol w:w="163"/>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w:t>
              <w:br/>
              <w:t>Equity Attributable to</w:t>
              <w:br/>
              <w:t>HF Foods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pPr>
            <w:r>
              <w:rPr>
                <w:rFonts w:ascii="Times New Roman;sans-serif" w:hAnsi="Times New Roman;sans-serif"/>
                <w:b/>
                <w:sz w:val="16"/>
              </w:rPr>
              <w:br/>
            </w: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53,813,777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598,322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(306,514)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291,813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4,436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296,249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53,844,492</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599,384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286,942</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4,572</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291,514</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269,113 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54,086,164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600,030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(313,297)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286,738</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3,862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290,600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54,153,391</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(308,688)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286,661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1,322</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287,983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54,153,391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(309,382)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286,705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1,457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288,162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equity compensation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tax withholdings on vested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Dissolution of noncontrolling interests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54,668,169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1,997,423</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(7,750)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603,454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(309,365)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286,344</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2,447</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288,791</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HF Foods Group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General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 Foods Group Inc. and subsidiaries (collectively “HF Foods”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Foods, which operates solely in the United States. The Company's customer base consists primarily of Asian restaurants, and it provides sales and service support to customers who mainly converse in Mandarin or Chinese dialects.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(“GAAP”) and applicable rules and regulations of the U.S. Securities and Exchange Commission (“SEC”) regarding interim financial reporting. All adjustments (consisting of normal recurring accruals) considered necessary for a fair presentation have been included.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related financial information should be read in conjunction with the audited consolidated financial statements and the related notes thereto that are included in our Annual Report on Form 10-K for the year ended December 31, 2023 filed with the SEC on March 26, 2024 (the “2023 Annual Report”). There have been no material changes to the Company’s significant accounting policies as compared to the significant accounting policies described in the 2023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intercompany balances and transactions have been eliminated in consolidation. For consolidated entities where we own or are exposed to less than 100% of the economics, the Company records net income (loss) attributable to noncontrolling interest in its condensed consolidated statements of operations and comprehensive loss equal to the percentage of the economic or ownership interest retained in such entity by the respective noncontrolling party.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previously disclosed one VIE, AnHeart, Inc. (“AnHeart”), for which the Company was not the primary beneficiary and therefore did not consolidate. During the three months ended June 30, 2024, the Company assumed the lease for which AnHeart was a lessee and the Company was a guarantor, and as such, it no longer recognizes AnHeart as a VIE as of June 30, 2024. See </w:t>
      </w:r>
      <w:r>
        <w:rPr>
          <w:rFonts w:ascii="Times New Roman;sans-serif" w:hAnsi="Times New Roman;sans-serif"/>
          <w:b w:val="false"/>
          <w:i/>
          <w:color w:val="000000"/>
          <w:sz w:val="20"/>
        </w:rPr>
        <w:t xml:space="preserve">Note 13 - Commitments and Contingencies </w:t>
      </w:r>
      <w:r>
        <w:rPr>
          <w:rFonts w:ascii="Times New Roman;sans-serif" w:hAnsi="Times New Roman;sans-serif"/>
          <w:b w:val="false"/>
          <w:color w:val="000000"/>
          <w:sz w:val="20"/>
        </w:rPr>
        <w:t xml:space="preserve">for additional information on AnHeart.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requires that noncontrolling interests in subsidiaries and affiliates be reported in the equity section of the Company’s condensed consolidated balance sheets. In addition, the amounts attributable to the net income (loss) of those noncontrolling interests are reported separately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noncontrolling interest equity consisted of the following:</w:t>
      </w:r>
    </w:p>
    <w:tbl>
      <w:tblPr>
        <w:tblW w:w="10205" w:type="dxa"/>
        <w:jc w:val="left"/>
        <w:tblInd w:w="0" w:type="dxa"/>
        <w:tblLayout w:type="fixed"/>
        <w:tblCellMar>
          <w:top w:w="28" w:type="dxa"/>
          <w:left w:w="28" w:type="dxa"/>
          <w:bottom w:w="28" w:type="dxa"/>
          <w:right w:w="28" w:type="dxa"/>
        </w:tblCellMar>
      </w:tblPr>
      <w:tblGrid>
        <w:gridCol w:w="1057"/>
        <w:gridCol w:w="929"/>
        <w:gridCol w:w="936"/>
        <w:gridCol w:w="109"/>
        <w:gridCol w:w="109"/>
        <w:gridCol w:w="109"/>
        <w:gridCol w:w="1108"/>
        <w:gridCol w:w="1108"/>
        <w:gridCol w:w="1111"/>
        <w:gridCol w:w="109"/>
        <w:gridCol w:w="109"/>
        <w:gridCol w:w="109"/>
        <w:gridCol w:w="282"/>
        <w:gridCol w:w="824"/>
        <w:gridCol w:w="145"/>
        <w:gridCol w:w="109"/>
        <w:gridCol w:w="109"/>
        <w:gridCol w:w="109"/>
        <w:gridCol w:w="369"/>
        <w:gridCol w:w="1078"/>
        <w:gridCol w:w="277"/>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Ownership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noncontrolling interest 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HF Foods Industrial, LLC ("HFFI")</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Monterey Food Service,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(a)During the quarter ended June 30, 2024, upon dissolution of HFFI, the Company assumed HFFI’s remaining assets and liabilities. In accordance with ASC Topic 810 (“ASC 810”), Consolidation, changes in a parent’s ownership interest while the parent retains its controlling financial interest in its subsidiary shall be accounted for as equity transactions. No gain or loss was recognized. As a result of this transaction, noncontrolling interest of $0.8 million was reclassified to additional paid-in capital on the condensed consolidated balance sheets.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Uses of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each reporting period. Actual results could differ from those estimates. Significant accounting estimates reflected in the Company’s condensed consolidated financial statements include, but are not limited to, inventory reserves, impairment of long-lived assets, impairment of goodwill, and the purchase price allocation and fair value of assets and liabilities acquired with respect to business combinations.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Accounting Standards Update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The impact of the adoption of this ASU is not expected to have a material effect on the Company’s financial position, or operations, however, the Company is currently evaluating the impact of this standard on its disclosures to the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which requires public entities to disclose specific categories in its annual effective tax rate reconciliation and disaggregated information about significant reconciling items by jurisdiction and by nature. ASU 2023-09 also requires entities to disclose their income tax payments (net of refunds) to international, federal, and state and local jurisdictions. This guidance is effective for fiscal years beginning after December 15, 2024, and requires prospective application with the option to apply it retrospectively. Early adoption is permitted. The Company is currently evaluating the impact of this guidance on the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net revenue disaggregated by principal product categories:</w:t>
      </w:r>
    </w:p>
    <w:tbl>
      <w:tblPr>
        <w:tblW w:w="11725"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154"/>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Seafood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 Specialty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Meat and Poultry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Packaging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w:t>
      </w:r>
    </w:p>
    <w:p>
      <w:pPr>
        <w:pStyle w:val="TextBody"/>
        <w:bidi w:val="0"/>
        <w:spacing w:before="0" w:after="0"/>
        <w:jc w:val="left"/>
        <w:rPr/>
      </w:pPr>
      <w:r>
        <w:rPr/>
      </w:r>
    </w:p>
    <w:tbl>
      <w:tblPr>
        <w:tblW w:w="6865" w:type="dxa"/>
        <w:jc w:val="left"/>
        <w:tblInd w:w="0" w:type="dxa"/>
        <w:tblLayout w:type="fixed"/>
        <w:tblCellMar>
          <w:top w:w="28" w:type="dxa"/>
          <w:left w:w="28" w:type="dxa"/>
          <w:bottom w:w="28" w:type="dxa"/>
          <w:right w:w="28" w:type="dxa"/>
        </w:tblCellMar>
      </w:tblPr>
      <w:tblGrid>
        <w:gridCol w:w="1264"/>
        <w:gridCol w:w="1112"/>
        <w:gridCol w:w="1118"/>
        <w:gridCol w:w="258"/>
        <w:gridCol w:w="883"/>
        <w:gridCol w:w="133"/>
        <w:gridCol w:w="109"/>
        <w:gridCol w:w="109"/>
        <w:gridCol w:w="109"/>
        <w:gridCol w:w="344"/>
        <w:gridCol w:w="1175"/>
        <w:gridCol w:w="25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expected credit losses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allowance for expected credit losses was as follows:</w:t>
      </w:r>
    </w:p>
    <w:p>
      <w:pPr>
        <w:pStyle w:val="TextBody"/>
        <w:bidi w:val="0"/>
        <w:spacing w:before="0" w:after="0"/>
        <w:jc w:val="left"/>
        <w:rPr/>
      </w:pPr>
      <w:r>
        <w:rPr/>
      </w:r>
    </w:p>
    <w:tbl>
      <w:tblPr>
        <w:tblW w:w="7648" w:type="dxa"/>
        <w:jc w:val="left"/>
        <w:tblInd w:w="0" w:type="dxa"/>
        <w:tblLayout w:type="fixed"/>
        <w:tblCellMar>
          <w:top w:w="28" w:type="dxa"/>
          <w:left w:w="28" w:type="dxa"/>
          <w:bottom w:w="28" w:type="dxa"/>
          <w:right w:w="28" w:type="dxa"/>
        </w:tblCellMar>
      </w:tblPr>
      <w:tblGrid>
        <w:gridCol w:w="1730"/>
        <w:gridCol w:w="1523"/>
        <w:gridCol w:w="1532"/>
        <w:gridCol w:w="228"/>
        <w:gridCol w:w="668"/>
        <w:gridCol w:w="118"/>
        <w:gridCol w:w="118"/>
        <w:gridCol w:w="118"/>
        <w:gridCol w:w="118"/>
        <w:gridCol w:w="228"/>
        <w:gridCol w:w="668"/>
        <w:gridCol w:w="118"/>
        <w:gridCol w:w="109"/>
        <w:gridCol w:w="109"/>
        <w:gridCol w:w="109"/>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provision for expected credit losses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write-offs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w:t>
      </w:r>
    </w:p>
    <w:p>
      <w:pPr>
        <w:pStyle w:val="TextBody"/>
        <w:bidi w:val="0"/>
        <w:spacing w:before="0" w:after="0"/>
        <w:jc w:val="left"/>
        <w:rPr/>
      </w:pPr>
      <w:r>
        <w:rPr/>
      </w:r>
    </w:p>
    <w:tbl>
      <w:tblPr>
        <w:tblW w:w="6821" w:type="dxa"/>
        <w:jc w:val="left"/>
        <w:tblInd w:w="0" w:type="dxa"/>
        <w:tblLayout w:type="fixed"/>
        <w:tblCellMar>
          <w:top w:w="28" w:type="dxa"/>
          <w:left w:w="28" w:type="dxa"/>
          <w:bottom w:w="28" w:type="dxa"/>
          <w:right w:w="28" w:type="dxa"/>
        </w:tblCellMar>
      </w:tblPr>
      <w:tblGrid>
        <w:gridCol w:w="1248"/>
        <w:gridCol w:w="1097"/>
        <w:gridCol w:w="1105"/>
        <w:gridCol w:w="287"/>
        <w:gridCol w:w="839"/>
        <w:gridCol w:w="148"/>
        <w:gridCol w:w="109"/>
        <w:gridCol w:w="109"/>
        <w:gridCol w:w="109"/>
        <w:gridCol w:w="344"/>
        <w:gridCol w:w="1175"/>
        <w:gridCol w:w="251"/>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8,996 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jc w:val="both"/>
        <w:rPr/>
      </w:pPr>
      <w:r>
        <w:rPr/>
      </w:r>
    </w:p>
    <w:tbl>
      <w:tblPr>
        <w:tblW w:w="6054" w:type="dxa"/>
        <w:jc w:val="left"/>
        <w:tblInd w:w="0" w:type="dxa"/>
        <w:tblLayout w:type="fixed"/>
        <w:tblCellMar>
          <w:top w:w="28" w:type="dxa"/>
          <w:left w:w="28" w:type="dxa"/>
          <w:bottom w:w="28" w:type="dxa"/>
          <w:right w:w="28" w:type="dxa"/>
        </w:tblCellMar>
      </w:tblPr>
      <w:tblGrid>
        <w:gridCol w:w="971"/>
        <w:gridCol w:w="855"/>
        <w:gridCol w:w="858"/>
        <w:gridCol w:w="234"/>
        <w:gridCol w:w="919"/>
        <w:gridCol w:w="121"/>
        <w:gridCol w:w="109"/>
        <w:gridCol w:w="109"/>
        <w:gridCol w:w="109"/>
        <w:gridCol w:w="313"/>
        <w:gridCol w:w="1228"/>
        <w:gridCol w:w="22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Automobiles</w:t>
            </w:r>
            <w:r>
              <w:rPr>
                <w:rFonts w:ascii="Times New Roman;sans-serif" w:hAnsi="Times New Roman;sans-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improvements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(56,587)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143,538 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cost and accumulated depreciation of property and equipment related to finance leases was $31.0 million and $12.3 million at June 30, 2024 and $22.2 million and $10.3 million at December 31, 2023, which primarily relates to Automobiles. During the six months ended June 30, 2024, the Company entered into finance leases for automobiles which mature in 4 to 6 years and have a weighted average discount rate of 6.6%. The total future minimum lease payments under finance leases as of June 30, 2024 is $30.1 million. As of June 30, 2024, the Company had additional leases that had not yet commenced which totaled $16.9 million in future minimum lease payments.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$2.5 million and $2.4 million for the three months ended June 30, 2024 and 2023, respectively. Depreciation expense was $5.1 million and $5.0 million for the six months ended June 30, 2024 and 2023, respectively. During the three months ended June 30, 2023, the Company impaired machinery and recognized impairment expense of $1.2 million in distribution, selling and administrative expense in the condensed consolidated statements of operations and comprehensive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investments consisted of the following:</w:t>
      </w:r>
    </w:p>
    <w:p>
      <w:pPr>
        <w:pStyle w:val="TextBody"/>
        <w:bidi w:val="0"/>
        <w:spacing w:before="0" w:after="0"/>
        <w:jc w:val="both"/>
        <w:rPr/>
      </w:pPr>
      <w:r>
        <w:rPr/>
      </w:r>
    </w:p>
    <w:tbl>
      <w:tblPr>
        <w:tblW w:w="9860" w:type="dxa"/>
        <w:jc w:val="left"/>
        <w:tblInd w:w="0" w:type="dxa"/>
        <w:tblLayout w:type="fixed"/>
        <w:tblCellMar>
          <w:top w:w="28" w:type="dxa"/>
          <w:left w:w="28" w:type="dxa"/>
          <w:bottom w:w="28" w:type="dxa"/>
          <w:right w:w="28" w:type="dxa"/>
        </w:tblCellMar>
      </w:tblPr>
      <w:tblGrid>
        <w:gridCol w:w="1432"/>
        <w:gridCol w:w="1261"/>
        <w:gridCol w:w="1266"/>
        <w:gridCol w:w="734"/>
        <w:gridCol w:w="734"/>
        <w:gridCol w:w="736"/>
        <w:gridCol w:w="109"/>
        <w:gridCol w:w="109"/>
        <w:gridCol w:w="109"/>
        <w:gridCol w:w="287"/>
        <w:gridCol w:w="839"/>
        <w:gridCol w:w="148"/>
        <w:gridCol w:w="109"/>
        <w:gridCol w:w="109"/>
        <w:gridCol w:w="109"/>
        <w:gridCol w:w="380"/>
        <w:gridCol w:w="1110"/>
        <w:gridCol w:w="279"/>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 as of 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 ("Asahi")</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Tamron Akuatik Produk Industri ("Tamron")</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investments</w:t>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investment in Tamron is accounted for using the measurement alternative under Accounting Standards Codification (“ASC”) Topic 321 </w:t>
      </w:r>
      <w:r>
        <w:rPr>
          <w:rFonts w:ascii="Times New Roman;sans-serif" w:hAnsi="Times New Roman;sans-serif"/>
          <w:b w:val="false"/>
          <w:i/>
          <w:color w:val="000000"/>
          <w:sz w:val="20"/>
        </w:rPr>
        <w:t>Investments—Equity Securities</w:t>
      </w:r>
      <w:r>
        <w:rPr>
          <w:rFonts w:ascii="Times New Roman;sans-serif" w:hAnsi="Times New Roman;sans-serif"/>
          <w:b w:val="false"/>
          <w:color w:val="000000"/>
          <w:sz w:val="20"/>
        </w:rPr>
        <w:t>, which is measured at cost, less any impairment, plus or minus changes resulting from observable price changes in orderly transactions for identical or similar investments, if any. The investment in Asahi is accounted for under the equity method due to the fact that the Company has significant influence but does not exercise control over this investee. The Company determined there was no impairment as of June 30, 2024 for these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p>
      <w:pPr>
        <w:pStyle w:val="TextBody"/>
        <w:bidi w:val="0"/>
        <w:spacing w:before="0" w:after="0"/>
        <w:jc w:val="left"/>
        <w:rPr/>
      </w:pPr>
      <w:r>
        <w:rPr/>
      </w:r>
    </w:p>
    <w:tbl>
      <w:tblPr>
        <w:tblW w:w="7342" w:type="dxa"/>
        <w:jc w:val="left"/>
        <w:tblInd w:w="0" w:type="dxa"/>
        <w:tblLayout w:type="fixed"/>
        <w:tblCellMar>
          <w:top w:w="28" w:type="dxa"/>
          <w:left w:w="28" w:type="dxa"/>
          <w:bottom w:w="28" w:type="dxa"/>
          <w:right w:w="28" w:type="dxa"/>
        </w:tblCellMar>
      </w:tblPr>
      <w:tblGrid>
        <w:gridCol w:w="1319"/>
        <w:gridCol w:w="1160"/>
        <w:gridCol w:w="1165"/>
        <w:gridCol w:w="109"/>
        <w:gridCol w:w="109"/>
        <w:gridCol w:w="109"/>
        <w:gridCol w:w="258"/>
        <w:gridCol w:w="883"/>
        <w:gridCol w:w="133"/>
        <w:gridCol w:w="109"/>
        <w:gridCol w:w="109"/>
        <w:gridCol w:w="109"/>
        <w:gridCol w:w="344"/>
        <w:gridCol w:w="1175"/>
        <w:gridCol w:w="251"/>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Self-insurance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hierarchy for its assets and liabilities measured at fair value on a recurring basis as of the dates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5"/>
        <w:gridCol w:w="207"/>
        <w:gridCol w:w="211"/>
        <w:gridCol w:w="216"/>
        <w:gridCol w:w="448"/>
        <w:gridCol w:w="120"/>
        <w:gridCol w:w="109"/>
        <w:gridCol w:w="109"/>
        <w:gridCol w:w="109"/>
        <w:gridCol w:w="205"/>
        <w:gridCol w:w="583"/>
        <w:gridCol w:w="114"/>
        <w:gridCol w:w="109"/>
        <w:gridCol w:w="109"/>
        <w:gridCol w:w="109"/>
        <w:gridCol w:w="265"/>
        <w:gridCol w:w="549"/>
        <w:gridCol w:w="149"/>
        <w:gridCol w:w="109"/>
        <w:gridCol w:w="109"/>
        <w:gridCol w:w="109"/>
        <w:gridCol w:w="196"/>
        <w:gridCol w:w="556"/>
        <w:gridCol w:w="109"/>
        <w:gridCol w:w="109"/>
        <w:gridCol w:w="109"/>
        <w:gridCol w:w="109"/>
        <w:gridCol w:w="216"/>
        <w:gridCol w:w="448"/>
        <w:gridCol w:w="120"/>
        <w:gridCol w:w="109"/>
        <w:gridCol w:w="109"/>
        <w:gridCol w:w="109"/>
        <w:gridCol w:w="204"/>
        <w:gridCol w:w="599"/>
        <w:gridCol w:w="113"/>
        <w:gridCol w:w="109"/>
        <w:gridCol w:w="109"/>
        <w:gridCol w:w="109"/>
        <w:gridCol w:w="265"/>
        <w:gridCol w:w="549"/>
        <w:gridCol w:w="149"/>
        <w:gridCol w:w="109"/>
        <w:gridCol w:w="109"/>
        <w:gridCol w:w="109"/>
        <w:gridCol w:w="196"/>
        <w:gridCol w:w="572"/>
        <w:gridCol w:w="162"/>
      </w:tblGrid>
      <w:tr>
        <w:trPr/>
        <w:tc>
          <w:tcPr>
            <w:tcW w:w="39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Quoted Prices in Active Markets for Identical Assets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Other 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 Unobservable Inputs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Assets:</w:t>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Liabilities:</w:t>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3"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follows the provisions of ASC Topic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which clarifies the definition of fair value, prescribes methods for measuring fair value, and establishes a fair value hierarchy to classify the inputs used in measuring fair value as follows: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1 - Inputs are unadjusted quoted prices in active markets for identical assets or liabilities available at the measurement date.</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Level 3 - Inputs are unobservable inputs which reflect the reporting entity’s own assumptions about what assumptions market participants would use in pricing the asset or liability based on the best available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reported in the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7 - Derivative Financial Instruments</w:t>
      </w:r>
      <w:r>
        <w:rPr>
          <w:color w:val="000000"/>
        </w:rPr>
        <w:t xml:space="preserve"> </w:t>
      </w:r>
      <w:r>
        <w:rPr>
          <w:rFonts w:ascii="Times New Roman;sans-serif" w:hAnsi="Times New Roman;sans-serif"/>
          <w:b w:val="false"/>
          <w:color w:val="000000"/>
          <w:sz w:val="20"/>
        </w:rPr>
        <w:t xml:space="preserve">for additional information regarding the Company’s interest rate swaps.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Carrying Value and Estimated Fair Value of Outstanding Debt</w:t>
      </w:r>
      <w:r>
        <w:rPr>
          <w:color w:val="000000"/>
        </w:rPr>
        <w:t xml:space="preserve"> </w:t>
      </w:r>
      <w:r>
        <w:rPr>
          <w:rFonts w:ascii="Times New Roman;sans-serif" w:hAnsi="Times New Roman;sans-serif"/>
          <w:b w:val="false"/>
          <w:color w:val="000000"/>
          <w:sz w:val="20"/>
        </w:rPr>
        <w:t xml:space="preserve">- The following table presents the carrying value and estimated fair value of the Company’s outstanding debt as described in </w:t>
      </w:r>
      <w:r>
        <w:rPr>
          <w:rFonts w:ascii="Times New Roman;sans-serif" w:hAnsi="Times New Roman;sans-serif"/>
          <w:b w:val="false"/>
          <w:i/>
          <w:color w:val="000000"/>
          <w:sz w:val="20"/>
        </w:rPr>
        <w:t>Note 8 - Debt</w:t>
      </w:r>
      <w:r>
        <w:rPr>
          <w:rFonts w:ascii="Times New Roman;sans-serif" w:hAnsi="Times New Roman;sans-serif"/>
          <w:b w:val="false"/>
          <w:color w:val="000000"/>
          <w:sz w:val="20"/>
        </w:rPr>
        <w:t>, including the current portion, as of the dates indicated:</w:t>
      </w:r>
    </w:p>
    <w:p>
      <w:pPr>
        <w:pStyle w:val="TextBody"/>
        <w:bidi w:val="0"/>
        <w:spacing w:before="0" w:after="0"/>
        <w:jc w:val="both"/>
        <w:rPr/>
      </w:pPr>
      <w:r>
        <w:rPr/>
      </w:r>
    </w:p>
    <w:tbl>
      <w:tblPr>
        <w:tblW w:w="7757" w:type="dxa"/>
        <w:jc w:val="left"/>
        <w:tblInd w:w="0" w:type="dxa"/>
        <w:tblLayout w:type="fixed"/>
        <w:tblCellMar>
          <w:top w:w="28" w:type="dxa"/>
          <w:left w:w="28" w:type="dxa"/>
          <w:bottom w:w="28" w:type="dxa"/>
          <w:right w:w="28" w:type="dxa"/>
        </w:tblCellMar>
      </w:tblPr>
      <w:tblGrid>
        <w:gridCol w:w="792"/>
        <w:gridCol w:w="697"/>
        <w:gridCol w:w="700"/>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65"/>
        <w:gridCol w:w="1038"/>
        <w:gridCol w:w="137"/>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Variable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East West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Note 8 - Debt</w:t>
      </w:r>
      <w:r>
        <w:rPr>
          <w:color w:val="000000"/>
        </w:rPr>
        <w:t xml:space="preserve"> </w:t>
      </w:r>
      <w:r>
        <w:rPr>
          <w:rFonts w:ascii="Times New Roman;sans-serif" w:hAnsi="Times New Roman;sans-serif"/>
          <w:b w:val="false"/>
          <w:color w:val="000000"/>
          <w:sz w:val="20"/>
        </w:rPr>
        <w:t>for additional information regarding the Company's debt.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fair value of certain assets on a nonrecurring basis when events or changes in circumstances indicate that the carrying value of the assets may not be recoverable. No adjustments to fair value from the write-down of asset values due to impairment were made during the three and six months ended June 30, 2024 and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assets carried at nonrecurring fair value at June 30, 2024 and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 Goodwill and 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a quantitative goodwill impairment assessment as of December 31, 2023, as a result of the Company’s results of operations compared to previous forecasts, combined with the level of the Company’s stock price. The fair value was determined using an average of the income approach, comparable public company analysis, and comparable acquisitions analysis. The fair value of the reporting unit exceeded the carrying value, and therefore the Company concluded no impairment was required to be recorded during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goodwill impairment test in 2023 resulted in an estimated fair value that exceeded carrying value by approximately 10% at December 31, 2023. The most critical assumptions in determining fair value using the income approach were projections of future cash flows such as forecasted revenue growth rates, gross profit margins, and the discount rate. The market approaches were primarily impacted by an enterprise value multiple of EBITDA. A significant change in these assumptions or a sustained decline in the Company’s stock price could result in an interim impairment test and/or potential goodwill impairment in the future.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there were no events or circumstances during the six months ended June 30, 2024 that would more likely than not reduce the fair value of the reporting unit below its carrying amount. Goodwill was $85.1 million as of June 30, 2024 and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Acquired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intangible assets are as follows:</w:t>
      </w:r>
    </w:p>
    <w:p>
      <w:pPr>
        <w:pStyle w:val="TextBody"/>
        <w:bidi w:val="0"/>
        <w:spacing w:before="0" w:after="0"/>
        <w:jc w:val="both"/>
        <w:rPr/>
      </w:pPr>
      <w:r>
        <w:rPr/>
      </w:r>
    </w:p>
    <w:tbl>
      <w:tblPr>
        <w:tblW w:w="10599" w:type="dxa"/>
        <w:jc w:val="left"/>
        <w:tblInd w:w="0" w:type="dxa"/>
        <w:tblLayout w:type="fixed"/>
        <w:tblCellMar>
          <w:top w:w="28" w:type="dxa"/>
          <w:left w:w="28" w:type="dxa"/>
          <w:bottom w:w="28" w:type="dxa"/>
          <w:right w:w="28" w:type="dxa"/>
        </w:tblCellMar>
      </w:tblPr>
      <w:tblGrid>
        <w:gridCol w:w="548"/>
        <w:gridCol w:w="482"/>
        <w:gridCol w:w="486"/>
        <w:gridCol w:w="109"/>
        <w:gridCol w:w="109"/>
        <w:gridCol w:w="109"/>
        <w:gridCol w:w="211"/>
        <w:gridCol w:w="826"/>
        <w:gridCol w:w="109"/>
        <w:gridCol w:w="109"/>
        <w:gridCol w:w="109"/>
        <w:gridCol w:w="109"/>
        <w:gridCol w:w="248"/>
        <w:gridCol w:w="868"/>
        <w:gridCol w:w="130"/>
        <w:gridCol w:w="109"/>
        <w:gridCol w:w="109"/>
        <w:gridCol w:w="109"/>
        <w:gridCol w:w="211"/>
        <w:gridCol w:w="826"/>
        <w:gridCol w:w="109"/>
        <w:gridCol w:w="109"/>
        <w:gridCol w:w="109"/>
        <w:gridCol w:w="109"/>
        <w:gridCol w:w="211"/>
        <w:gridCol w:w="826"/>
        <w:gridCol w:w="109"/>
        <w:gridCol w:w="109"/>
        <w:gridCol w:w="109"/>
        <w:gridCol w:w="109"/>
        <w:gridCol w:w="248"/>
        <w:gridCol w:w="868"/>
        <w:gridCol w:w="130"/>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(43,368)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acquired intangible assets was $4.1 million for the three months ended June 30, 2024 and 2023. Amortization expense for acquired intangible assets was $8.1 million for the six months ended June 30, 2024 and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utilizes interest rate swaps ("IRS") for the sole purpose of mitigating interest rate fluctuation risk associated with floating rate debt instruments (as defined in </w:t>
      </w:r>
      <w:r>
        <w:rPr>
          <w:rFonts w:ascii="Times New Roman;sans-serif" w:hAnsi="Times New Roman;sans-serif"/>
          <w:b w:val="false"/>
          <w:i/>
          <w:color w:val="000000"/>
          <w:sz w:val="20"/>
        </w:rPr>
        <w:t>Note 8 - Debt</w:t>
      </w:r>
      <w:r>
        <w:rPr>
          <w:rFonts w:ascii="Times New Roman;sans-serif" w:hAnsi="Times New Roman;sans-serif"/>
          <w:b w:val="false"/>
          <w:color w:val="000000"/>
          <w:sz w:val="20"/>
        </w:rPr>
        <w:t>). The Company does not use any other derivative financial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The BOA IRS was modified accordingly to fix the SOFR based loan to approximately 4.50%. The term loan and corresponding BOA IRS contract mature in December 2029.</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aforementioned IRS contracts currently in place and did not designate those as cash flow hedges. Hence, the fair value changes of these IRS contracts are accounted for and recognized as a change in fair value of interest rate swap contracts in the condensed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determined that the fair values of the IRS contracts were $1.1 million in an asset position. As of December 31, 2023, the fair values of the IRS contracts were $0.4 million in an asset position and $1.6 million in a liability position. The Company includes these in other long-term assets and other long-term liabilities, respectively, on the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at June 30, 2024 and December 31, 2023 is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37"/>
        <w:gridCol w:w="616"/>
        <w:gridCol w:w="621"/>
        <w:gridCol w:w="109"/>
        <w:gridCol w:w="109"/>
        <w:gridCol w:w="109"/>
        <w:gridCol w:w="710"/>
        <w:gridCol w:w="695"/>
        <w:gridCol w:w="704"/>
        <w:gridCol w:w="109"/>
        <w:gridCol w:w="109"/>
        <w:gridCol w:w="109"/>
        <w:gridCol w:w="667"/>
        <w:gridCol w:w="667"/>
        <w:gridCol w:w="669"/>
        <w:gridCol w:w="109"/>
        <w:gridCol w:w="109"/>
        <w:gridCol w:w="109"/>
        <w:gridCol w:w="226"/>
        <w:gridCol w:w="887"/>
        <w:gridCol w:w="116"/>
        <w:gridCol w:w="109"/>
        <w:gridCol w:w="109"/>
        <w:gridCol w:w="109"/>
        <w:gridCol w:w="278"/>
        <w:gridCol w:w="1092"/>
        <w:gridCol w:w="212"/>
      </w:tblGrid>
      <w:tr>
        <w:trPr/>
        <w:tc>
          <w:tcPr>
            <w:tcW w:w="73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Bank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Rate at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Bank of America </w:t>
            </w:r>
            <w:r>
              <w:rPr>
                <w:rFonts w:ascii="Times New Roman;sans-serif" w:hAnsi="Times New Roman;sans-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2026 - December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4.34% - 7.93%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East West Bank </w:t>
            </w: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2027 - September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7.62% - 9.00%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JPMorgan Chase </w:t>
            </w: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finance institutions </w:t>
            </w:r>
            <w:r>
              <w:rPr>
                <w:rFonts w:ascii="Times New Roman;sans-serif" w:hAnsi="Times New Roman;sans-serif"/>
                <w:b w:val="false"/>
                <w:color w:val="000000"/>
                <w:sz w:val="16"/>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 xml:space="preserve">(a)Loan balance consists of real estate term loan and equipment term loan, collateralized by one real property and specific equipment. </w:t>
      </w:r>
      <w:r>
        <w:rPr>
          <w:rFonts w:ascii="Times New Roman;sans-serif" w:hAnsi="Times New Roman;sans-serif"/>
          <w:b w:val="false"/>
          <w:color w:val="000000"/>
          <w:sz w:val="16"/>
        </w:rPr>
        <w:t xml:space="preserve">The real estate term loan is pegged to TERM SOFR + 2.5%. </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(b)</w:t>
      </w:r>
      <w:r>
        <w:rPr>
          <w:rFonts w:ascii="Times New Roman;sans-serif" w:hAnsi="Times New Roman;sans-serif"/>
          <w:b w:val="false"/>
          <w:color w:val="000000"/>
          <w:sz w:val="16"/>
        </w:rPr>
        <w:t>Real estate term loans with East West Bank are collateralized by three real properties. Balloon payments of $1.9 million and $3.0 million are due at maturity in 2027 and 2029,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(c)Real estate term loan with a principal balance of $103.8 million as of June 30, 2024 and $106.3 million as of December 31, 2023 is secured by assets held by the Company and has a maturity date of January 2030.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(d)Secured by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various loan agreements related to long-term bank borrowings require the Company to comply with certain financial covenants, including, but not limited to, a fixed charge coverage ratio and effective tangible net worth. As of June 30, 2024, the Company was in compliance with its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balance on the line of credit as of June 30, 2024 was $66.4 million and outstanding letters of credit amounted to $3.8 million leaving access to approximately $29.9 million in additional funds through our $100.0 million line of credit, subject to a borrowing base calculation.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31, 2022, the Company amended the $100.0 million asset-secured revolving credit facility agreement, extending for five years, with a maturity date of November 4, 2027. On February 6, 2024, the Company amended the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JPM Credit Agreement and; (iii) remove certain sublease income from various financial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9 -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computes earnings per share (“EPS”) in accordance with ASC Topic 260 (“ASC 260”),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37,084 and 967,779 potential common shares related to performance-based restricted stock units and restricted stock units that were excluded from the calculation of diluted EPS for the three months ended June 30, 2024 and 2023, respectively, because their effect could have been anti-dilutive. There were 1,354,908 and 620,402 potential common shares related to performance-based restricted stock units and restricted stock units that were excluded from the calculation of diluted EPS for the six months ended June 30, 2024 and 2023, respectively, because their effect could have been anti-dilutive.</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w:t>
      </w:r>
    </w:p>
    <w:tbl>
      <w:tblPr>
        <w:tblW w:w="10205" w:type="dxa"/>
        <w:jc w:val="left"/>
        <w:tblInd w:w="0" w:type="dxa"/>
        <w:tblLayout w:type="fixed"/>
        <w:tblCellMar>
          <w:top w:w="28" w:type="dxa"/>
          <w:left w:w="28" w:type="dxa"/>
          <w:bottom w:w="28" w:type="dxa"/>
          <w:right w:w="28" w:type="dxa"/>
        </w:tblCellMar>
      </w:tblPr>
      <w:tblGrid>
        <w:gridCol w:w="1453"/>
        <w:gridCol w:w="1141"/>
        <w:gridCol w:w="1148"/>
        <w:gridCol w:w="109"/>
        <w:gridCol w:w="109"/>
        <w:gridCol w:w="109"/>
        <w:gridCol w:w="315"/>
        <w:gridCol w:w="766"/>
        <w:gridCol w:w="130"/>
        <w:gridCol w:w="130"/>
        <w:gridCol w:w="130"/>
        <w:gridCol w:w="130"/>
        <w:gridCol w:w="309"/>
        <w:gridCol w:w="772"/>
        <w:gridCol w:w="130"/>
        <w:gridCol w:w="109"/>
        <w:gridCol w:w="109"/>
        <w:gridCol w:w="109"/>
        <w:gridCol w:w="309"/>
        <w:gridCol w:w="772"/>
        <w:gridCol w:w="113"/>
        <w:gridCol w:w="113"/>
        <w:gridCol w:w="113"/>
        <w:gridCol w:w="113"/>
        <w:gridCol w:w="270"/>
        <w:gridCol w:w="811"/>
        <w:gridCol w:w="113"/>
        <w:gridCol w:w="109"/>
        <w:gridCol w:w="161"/>
      </w:tblGrid>
      <w:tr>
        <w:trPr/>
        <w:tc>
          <w:tcPr>
            <w:tcW w:w="145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3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HF Foods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52,585,715 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52,370,842 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53,935,178 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dilutive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52,661,119 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54,046,328 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52,370,842 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53,935,178 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As of June 30, 2024, the Company had no subsidiaries outside the U.S., as such, no foreign income tax was recorded.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the Company's effective income tax rate of 87.2% and 129.6%, respectively, differed from the federal statutory tax rate primarily as a result of discrete tax items, permanent differences and state income taxes. The Company’s tax provision for the three and six months ended June 30, 2024 includes a discrete tax expense of $1.0 million related to the Company’s SEC settlement and $0.1 million tax expense related to stock-based compensation shortfalls. Absent the discrete items, the estimated annual effective income tax rate from continuing operations for the three and six months ended June 30, 2024 was 25.5% and 25.1%, respectively. For the three and six months ended June 30, 2023, the Company's effective income tax rate of (15.5)% and 21.5%, respectively, differed from the federal statutory tax rate primarily as a result of permanent differences and state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the Company dissolved one of its subsidiaries, HFFI. The Company is in the process of determining the tax impact of the dissolution. However, the Company does not expect the dissolution of HFFI to have a significant impact on the income tax provision as HFFI’s deferred tax assets were subject to a full valuation allowance.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 Related Party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Xiao Mou Zhang (“Mr. Zhang”), the Chief Executive Officer of the Company, and certain of his immediate family members (collectively greater than 10% shareholders)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related party transactions as of June 30, 2024 and December 31, 2023 and for the three and six months ended June 30, 2024 and 2023 are identified as follows: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Sales, Purchases, and Lease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purchases of goods and services from related parties recorded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86"/>
        <w:gridCol w:w="1086"/>
        <w:gridCol w:w="1090"/>
        <w:gridCol w:w="109"/>
        <w:gridCol w:w="109"/>
        <w:gridCol w:w="109"/>
        <w:gridCol w:w="230"/>
        <w:gridCol w:w="230"/>
        <w:gridCol w:w="231"/>
        <w:gridCol w:w="109"/>
        <w:gridCol w:w="109"/>
        <w:gridCol w:w="109"/>
        <w:gridCol w:w="228"/>
        <w:gridCol w:w="668"/>
        <w:gridCol w:w="118"/>
        <w:gridCol w:w="118"/>
        <w:gridCol w:w="118"/>
        <w:gridCol w:w="118"/>
        <w:gridCol w:w="228"/>
        <w:gridCol w:w="668"/>
        <w:gridCol w:w="118"/>
        <w:gridCol w:w="109"/>
        <w:gridCol w:w="109"/>
        <w:gridCol w:w="109"/>
        <w:gridCol w:w="218"/>
        <w:gridCol w:w="638"/>
        <w:gridCol w:w="112"/>
        <w:gridCol w:w="112"/>
        <w:gridCol w:w="112"/>
        <w:gridCol w:w="112"/>
        <w:gridCol w:w="218"/>
        <w:gridCol w:w="638"/>
        <w:gridCol w:w="112"/>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“GA-GW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 Pacific Seafood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Rainfield Ranches,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The Company, through its subsidiary Mountain Food, LLC, owns an equity interest in this entity.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(b)An equity interest is held by three Irrevocable Trusts for the benefit of Mr. Zhang's children.</w:t>
      </w:r>
    </w:p>
    <w:p>
      <w:pPr>
        <w:pStyle w:val="TextBody"/>
        <w:bidi w:val="0"/>
        <w:spacing w:lineRule="auto" w:line="288" w:before="0" w:after="0"/>
        <w:ind w:left="0" w:right="0" w:hanging="36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Mr. Zhou Min Ni owns an equity interest in this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w:t>
      </w:r>
    </w:p>
    <w:p>
      <w:pPr>
        <w:pStyle w:val="TextBody"/>
        <w:bidi w:val="0"/>
        <w:spacing w:before="0" w:after="0"/>
        <w:ind w:left="0" w:right="0" w:hanging="36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sales to related parties recorded for the three and six months ended June 30, 2024 and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409"/>
        <w:gridCol w:w="1380"/>
        <w:gridCol w:w="1386"/>
        <w:gridCol w:w="109"/>
        <w:gridCol w:w="109"/>
        <w:gridCol w:w="109"/>
        <w:gridCol w:w="235"/>
        <w:gridCol w:w="688"/>
        <w:gridCol w:w="121"/>
        <w:gridCol w:w="121"/>
        <w:gridCol w:w="121"/>
        <w:gridCol w:w="121"/>
        <w:gridCol w:w="235"/>
        <w:gridCol w:w="688"/>
        <w:gridCol w:w="121"/>
        <w:gridCol w:w="109"/>
        <w:gridCol w:w="109"/>
        <w:gridCol w:w="109"/>
        <w:gridCol w:w="221"/>
        <w:gridCol w:w="647"/>
        <w:gridCol w:w="114"/>
        <w:gridCol w:w="114"/>
        <w:gridCol w:w="114"/>
        <w:gridCol w:w="114"/>
        <w:gridCol w:w="221"/>
        <w:gridCol w:w="647"/>
        <w:gridCol w:w="114"/>
        <w:gridCol w:w="10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277"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Food Service,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Choice Seafood,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N&amp;F Logistics,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(c)</w:t>
      </w:r>
      <w:r>
        <w:rPr>
          <w:rFonts w:ascii="Times New Roman;sans-serif" w:hAnsi="Times New Roman;sans-serif"/>
          <w:b w:val="false"/>
          <w:color w:val="000000"/>
          <w:sz w:val="16"/>
        </w:rPr>
        <w:t>Tina Ni, one of Mr. Zhou Min Ni’s family members, owns an equity interest in this entity indirectly through its parent company.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(d)Mr. Zhou Min Ni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(e)Mr. Zhou Min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(f)Tina Ni, one of Mr. Zhou Min Ni’s family members, owns an equity interest in this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various facilities to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which is included in distribution, selling and administrative expenses in the condensed consolidated statements of operations and comprehensive income (loss), was $0.1 million and $0.1 million for the three months ended June 30, 2024 and 2023, respectively and $0.1 million and $0.2 million for the six months ended June 30, 2024 and 2023,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Rental income was $36 thousand and $36 thousand for the three months ended June 30, 2024 and 2023, respectively and $72 thousand and $72 thousand for the six months ended June 30, 2024 and 2023, respectively. Rental income is included in other income in the condensed consolidated statements of operations and comprehensive income (loss).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 Related Parties,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accounts receivable with related parties recorded as of June 30, 2024 and December 31, 2023,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60"/>
        <w:gridCol w:w="2060"/>
        <w:gridCol w:w="2068"/>
        <w:gridCol w:w="109"/>
        <w:gridCol w:w="109"/>
        <w:gridCol w:w="109"/>
        <w:gridCol w:w="339"/>
        <w:gridCol w:w="750"/>
        <w:gridCol w:w="174"/>
        <w:gridCol w:w="109"/>
        <w:gridCol w:w="109"/>
        <w:gridCol w:w="109"/>
        <w:gridCol w:w="444"/>
        <w:gridCol w:w="983"/>
        <w:gridCol w:w="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ABC Food Trading,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Asahi 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Conexus Food Solutions LLC (formerly known as Best Food Services,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Enson Seafood GA, Inc. (formerly known as GA-GW Seafood,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Fortune One Foods,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6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Union Food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(b)The Company, through its subsidiary Mountain Food, LLC,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(c)Mr. Zhou Min Ni owns an equity interest in this entity.</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(d)Mr. Zhou Min Ni owns an equity interest in this entity indirectly through its parent company. </w:t>
      </w:r>
    </w:p>
    <w:p>
      <w:pPr>
        <w:pStyle w:val="TextBody"/>
        <w:bidi w:val="0"/>
        <w:spacing w:lineRule="auto" w:line="288" w:before="0" w:after="0"/>
        <w:ind w:left="0" w:right="0" w:hanging="54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(e)Tina Ni, one of Mr. Zhou Min Ni’s family members, owns an equity interest in this entity.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for 100% of the accounts receivable for Enson Seafood GA, Inc. as of June 30, 2024 and December 31, 2023. All other accounts receivable from these related parties are current and considered fully collectible. No additional allowance is deemed necessary as of June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Payable - Related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the accounts payable to related parties are payable upon demand without interest. Below is a summary of accounts payable with related parties recorded as of June 30, 2024 and December 31, 2023, respectively: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58"/>
        <w:gridCol w:w="2058"/>
        <w:gridCol w:w="2066"/>
        <w:gridCol w:w="109"/>
        <w:gridCol w:w="109"/>
        <w:gridCol w:w="109"/>
        <w:gridCol w:w="340"/>
        <w:gridCol w:w="752"/>
        <w:gridCol w:w="175"/>
        <w:gridCol w:w="109"/>
        <w:gridCol w:w="109"/>
        <w:gridCol w:w="109"/>
        <w:gridCol w:w="445"/>
        <w:gridCol w:w="986"/>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1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Conexus Food Solutions LLC (formerly known as Best Food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540"/>
        <w:jc w:val="both"/>
        <w:rPr/>
      </w:pPr>
      <w:r>
        <w:rPr>
          <w:rFonts w:ascii="Times New Roman;sans-serif" w:hAnsi="Times New Roman;sans-serif"/>
          <w:b w:val="false"/>
          <w:color w:val="000000"/>
          <w:sz w:val="16"/>
          <w:shd w:fill="FFFFFF" w:val="clear"/>
        </w:rPr>
        <w:t>(a)</w:t>
      </w:r>
      <w:r>
        <w:rPr>
          <w:rFonts w:ascii="Times New Roman;sans-serif" w:hAnsi="Times New Roman;sans-serif"/>
          <w:b w:val="false"/>
          <w:color w:val="000000"/>
          <w:sz w:val="16"/>
        </w:rPr>
        <w:t>An equity interest is held by three Irrevocable Trusts for the benefit of Mr. Zhang's children.</w:t>
      </w:r>
    </w:p>
    <w:p>
      <w:pPr>
        <w:pStyle w:val="TextBody"/>
        <w:bidi w:val="0"/>
        <w:spacing w:before="0" w:after="0"/>
        <w:ind w:left="0" w:right="0" w:hanging="1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Stock-Based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began issuing awards under the HF Foods Group Inc. 2018 Omnibus Equity Incentive Plan (the “2018 Incentive Plan”), which reserves up to 3,000,000 shares of the Company's common stock for issuance of awards to employees and non-employee directors. On June 3, 2024, the Company’s shareholders approved an amendment to the 2018 Incentive Plan which increased the number of shares of the Company's common stock available for issuance under the 2018 Incentive Plan to 7,000,000, an increase of 4,000,000 shares. As of June 30, 2024, the Company had 1,065,174 time-based vesting restricted stock units unvested, 981,894 performance-based restricted stock units unvested, 1,086,403 shares of common stock vested and 3,866,529 shares remaining available for future awards under the 2018 Incentive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was $0.5 million and $0.8 million for the three months ended June 30, 2024 and 2023, respectively. Stock-based compensation expense was $1.3 million and $1.8 million for the six months ended June 30, 2024 and 2023, respectively. Stock-based compensation expense was included in distribution, selling and administrative expenses in the Company's condensed consolidated statements of operations and comprehensive income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$6.8 million of total unrecognized compensation cost related to all non-vested outstanding RSUs and PSUs outstanding under the 2018 Incentive Plan, with a weighted average remaining service period of 2.32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13 -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revises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2024, the SEC announced that it had accepted an Offer of Settlement submitted by the Company in order to resolve the previously disclosed formal, non-public SEC investigation of allegations that the Company and certain of its current and former directors and officers violated the Securities Exchange Act of 1934 and Rule 10b-5 promulgated thereunder by making allegedly false and misleading statements. Under the settlement, without admitting or denying the SEC’s findings in this matter, the Company consented to the entry of an administrative civil cease-and-desist order by the SEC (the “Order”) with respect to violations of Sections 17(a) of the Securities Act, and of Sections 10(b), 13(a), 13(b)(2)(A), 13(b)(2)(B), and 14(a) of the Securities Exchange Act of 1934, as amended, and Rules 10b-5, 12b-20, 13a-1, 13a-11, 13a-13, 13a-15(a), and 14a-9 thereunder, resulting from the materially false and misleading disclosures and other fraudulent conduct implemented by its former Chairman and CEO Zhou Min Ni and former CFO Jian Ming “Jonathan” Ni. The Company agreed to payment of a civil monetary penalty of $3.9 million, paid during the three months ended June 30, 2024, which was recorded in other income (expense), net in the Company’s condensed consolidated statements of operations and comprehensive income (loss).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Order states that, in determining to accept the Company’s Offer of Settlement, the SEC considered the numerous remedial actions promptly undertaken by the Company and its cooperation during the investigation. The Company’s resolution follows charges brought by the SEC against the two former executives in a District Court action filed on June 3, 2024. As a result of the SEC’s district court complaint against them, the two former executives agreed to pay civil fines and disgorgement, and agreed to be subject to officer and director bars. Zhou Min Ni also agreed to a conduct-based injunction which enjoins him from directly or indirectly participating in the management of, or otherwise exercising any control of influence over the Company. The Special Litigation Committee of the Board of Directors previously obtained a monetary settlement from the former executives that was ratified by the Delaware Chancery Court.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AnHeart Lease Guarantee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provided a guarantee for two separate leases for two properties located in Manhattan, New York, at 273 Fifth Avenue and 275 Fifth Avenue, for 30 years and 15 years, respectively. The Company previously determined that AnHeart was a VIE as a result of the guarantee. However, the Company concluded it was not the primary beneficiary of AnHeart and therefore did not consolidate, because it did not have the power to direct the activities of AnHeart that most significantly impact AnHeart's economic performance. During the three months ended June 30, 2024, the Company assumed the lease for 275 Fifth Avenue and no longer recognized AnHeart as a VIE. As a result of the lease assumption, the lease guarantee liability of $5.4 million was reversed and an operating lease right-of-use asset and liability of $4.9 million was recorded on the condensed consolidated balance sheets. As a result of the reversal, a gain of $5.4 million was recorded to other expense (income), net on the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 In March 2024, the Company began construction of a multi-use facility on 273 Fifth Avenue and committed $7.0 million for the completion of the construction project. The Company incurred $2.2 million in construction costs which was recorded in construction in progress within property and equipment, net in the Company’s condensed consolidated balance sheet as of June 30, 2024. The Company expects to complete construction in June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(the “2023 Action”). As of the filing of the new summons and complaint, AnHeart and Minsheng are indebted to the Company in the amount of $474,000. AnHeart and the Company have since reached a settlement agreement (the “Settlement Agreement”) for AnHeart to pay the Company $40,000 a month in rent through December 2024 and commence regular monthly rental payments in accordance with the lease for 275 Fifth Avenue. The Settlement Agreement also provides that AnHeart will pay twenty-four monthly installments of $11,250 from January 2025 through December 2026 as payment for all back rent due.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30, 2024, the Company through its subsidiary assumed the lease of a building located on the premises of 275 Fifth Avenue, New York, New York. The Company was the guarantor of this lease under a lease guarantee agreement dated July 2018, and in February 2022, upon receiving notice of default, the Company undertook its lease guarantee obligations. The assumption of the lease had no impact on the Company’s obligations as guarantor.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lease covers certain portions of the ground floor, lower lever, and second floor of the building. The lease term ends on April 30, 2034 and is renewable at the option of the Company for up to two additional five-year terms. The Company shall pay rent of approximately $45,000 per month with provisions for yearly increases.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14 -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elsewhere, no subsequent events have occurred that would require recognition in the condensed consolidated financial statements or disclosure in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 AND RISK FACTOR SUMMARY</w:t>
      </w:r>
    </w:p>
    <w:p>
      <w:pPr>
        <w:pStyle w:val="TextBody"/>
        <w:bidi w:val="0"/>
        <w:spacing w:before="0" w:after="0"/>
        <w:jc w:val="left"/>
        <w:rPr/>
      </w:pPr>
      <w:r>
        <w:rPr/>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HF Foods Group Inc. (“HF Foods”, the “Company,” “we,” “us,” or “our”) contains certain statements that are, or may deemed to be, “forward-looking statements” within the meaning of Section 27A of the Securities Act of 1933, as amended, and Section 21E of the Securities Exchange Act of 1934, as amended, regarding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Low margins in the foodservice distribution industry and periods of significant or prolonged inflation or deflation;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Qualified labor shortages;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macroeconomic conditions in the United States;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in the foodservice distribution industry particularly the entry of new competitors into the Chinese/Asian restaurant supply market niche;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fuel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vendors and increases in product prices;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Dependency on the timely delivery of products from vendors, particularly the prolonged diminution of global supply chains;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effects of the COVID-19 pandemic or other pandemics;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steps taken by the governments where our suppliers are located, including the People’s Republic of China, to address the COVID-19 pandemic or other pandemics;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 of relationships with or loss of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consumer eating and dining out habits;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Related party transactions and possible conflicts of interests;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Related parties and variable interest entities consolidation;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protect our intellectual property rights;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renew or replace our current warehouse leases on favorable terms, or terminations prior to expiration of stated terms;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retain our senior management and other key personnel, particularly our CEO, President and COO, CFO and General Counsel and CCO;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train and retain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enforcement of immigration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comply with various federal, state and local rules and regulations regarding food safety, sanitation, transportation, minimum wage, overtime and other health and safety laws;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Product recalls, voluntary recalls or withdrawals if any of the products we distribute are alleged to have caused illness, been mislabeled, misbranded or adulterated or to otherwise have violated applicable government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Costs to comply with environmental laws and regulations;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 regulatory investigations and potential enforcement 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 government tariffs on products imported into the United States, particularly from China;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Severe weather, natural disasters and adverse climate change;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Unfavorable geopolitical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cyber security incident, other technology disruption or delay in implementing our information technology systems;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Current indebtedness affecting our liquidity and ability of future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acquire other distributors or wholesalers and enlarge our customer base;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Scarcity of and competition for acquisition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acquisition financing;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non-cash charges relating to the amortization of intangible assets related to material acquisitions;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identify acquisition candidates;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debt in order to successfully implement our acquisition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Difficulties in integrating operations, personnel, and assets of acquired businesses that may disrupt our business, dilute stockholder value, and adversely affect our operating results;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impact on the price and demand for our common stock resulting from the relative illiquidity of the market for our common stock;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stockholders’ ability to significantly influence the Company;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state anti-takeover laws and related provisions in our governance documents.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for the year ended December 31, 2023, filed with the SEC.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Except as otherwise required by law, we undertake no obligation to update or revise any forward-looking statement as a result of new information, future events or otherwise.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 In 2022, HF Foods acquired two frozen seafood suppliers, expanding its distribution network in Illinois, Texas and along the eastern seaboard, from Massachusetts to Florida, as well as Pennsylvania, West Virginia, Ohio, Kentucky, and Tennessee.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aim to supply the increasing demand for Asian American restaurant cuisine, leveraging our nationwide network of distribution centers and our strong relations with growers and suppliers of fresh, high-quality specialty restaurant food products and supplies in the US, South America, and China. Capitalizing on our deep understanding of the Chinese culture, we have become a trusted partner serving Asian restaurants and other foodservice customers throughout the United States, providing sales and service support to customers who mainly converse in Mandarin or other Chinese dialects. We are dedicated to serving the vast array of Asian restaurants in need of high-quality and specialized food ingredients at competitive prices.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Transformation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position the business for long-term success, we have initiated a comprehensive, operational transformation plan in an effort to drive growth and cost savings. Our transformation is focused on four key areas, each of which we expect will positively impact future growth or cost savings. The components of our transformation are as follows:</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Centralized Purchasing: </w:t>
      </w:r>
      <w:r>
        <w:rPr>
          <w:rFonts w:ascii="Times New Roman;sans-serif" w:hAnsi="Times New Roman;sans-serif"/>
          <w:b w:val="false"/>
          <w:color w:val="000000"/>
          <w:sz w:val="20"/>
        </w:rPr>
        <w:t>We began the roll out of our centralized purchasing program with seafood products and have yielded positive results with respect to margin expansion for the product category. We are now focusing on expanding the program to other categories.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Fleet and Transportation: </w:t>
      </w:r>
      <w:r>
        <w:rPr>
          <w:rFonts w:ascii="Times New Roman;sans-serif" w:hAnsi="Times New Roman;sans-serif"/>
          <w:b w:val="false"/>
          <w:color w:val="000000"/>
          <w:sz w:val="20"/>
        </w:rPr>
        <w:t>We have established a national fleet maintenance program. Within this, we have defined new truck specifications, initiated a replacement program for 50% of our current fleet, implemented a national fuel savings program to maximize efficiency, and plan to outsource domestic inbound freight logistics to a third-party partner to adopt a cohesive national approach to our supply chain. This is expected to deliver substantial improvements to our transportation system.</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Digital Transformation: </w:t>
      </w:r>
      <w:r>
        <w:rPr>
          <w:rFonts w:ascii="Times New Roman;sans-serif" w:hAnsi="Times New Roman;sans-serif"/>
          <w:b w:val="false"/>
          <w:color w:val="000000"/>
          <w:sz w:val="20"/>
        </w:rPr>
        <w:t>We will be implementing a modern ERP solution across all of our distribution centers. This is expected to deliver enhanced operational efficiency and responsiveness, streamlined processes, and greater data driven decision-making.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color w:val="000000"/>
          <w:sz w:val="20"/>
        </w:rPr>
        <w:t xml:space="preserve">Facility Upgrades: </w:t>
      </w:r>
      <w:r>
        <w:rPr>
          <w:rFonts w:ascii="Times New Roman;sans-serif" w:hAnsi="Times New Roman;sans-serif"/>
          <w:b w:val="false"/>
          <w:color w:val="000000"/>
          <w:sz w:val="20"/>
        </w:rPr>
        <w:t xml:space="preserve">We will be reorganizing and upgrading our facilities and distribution centers to efficiently streamline costs, and to capitalize on cross-selling opportunities with both new and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Financial Overview</w:t>
      </w:r>
    </w:p>
    <w:tbl>
      <w:tblPr>
        <w:tblW w:w="10205" w:type="dxa"/>
        <w:jc w:val="left"/>
        <w:tblInd w:w="0" w:type="dxa"/>
        <w:tblLayout w:type="fixed"/>
        <w:tblCellMar>
          <w:top w:w="28" w:type="dxa"/>
          <w:left w:w="28" w:type="dxa"/>
          <w:bottom w:w="28" w:type="dxa"/>
          <w:right w:w="28" w:type="dxa"/>
        </w:tblCellMar>
      </w:tblPr>
      <w:tblGrid>
        <w:gridCol w:w="493"/>
        <w:gridCol w:w="434"/>
        <w:gridCol w:w="436"/>
        <w:gridCol w:w="198"/>
        <w:gridCol w:w="745"/>
        <w:gridCol w:w="109"/>
        <w:gridCol w:w="109"/>
        <w:gridCol w:w="109"/>
        <w:gridCol w:w="109"/>
        <w:gridCol w:w="198"/>
        <w:gridCol w:w="745"/>
        <w:gridCol w:w="109"/>
        <w:gridCol w:w="109"/>
        <w:gridCol w:w="109"/>
        <w:gridCol w:w="109"/>
        <w:gridCol w:w="196"/>
        <w:gridCol w:w="646"/>
        <w:gridCol w:w="109"/>
        <w:gridCol w:w="109"/>
        <w:gridCol w:w="155"/>
        <w:gridCol w:w="155"/>
        <w:gridCol w:w="155"/>
        <w:gridCol w:w="155"/>
        <w:gridCol w:w="279"/>
        <w:gridCol w:w="1050"/>
        <w:gridCol w:w="155"/>
        <w:gridCol w:w="109"/>
        <w:gridCol w:w="109"/>
        <w:gridCol w:w="109"/>
        <w:gridCol w:w="196"/>
        <w:gridCol w:w="736"/>
        <w:gridCol w:w="109"/>
        <w:gridCol w:w="109"/>
        <w:gridCol w:w="109"/>
        <w:gridCol w:w="109"/>
        <w:gridCol w:w="196"/>
        <w:gridCol w:w="646"/>
        <w:gridCol w:w="109"/>
        <w:gridCol w:w="109"/>
        <w:gridCol w:w="165"/>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8"/>
            <w:tcBorders/>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in thousands)</w:t>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597,996 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our non-GAAP financial measures, EBITDA and Adjusted EBITDA, see the section entitled “EBITDA and Adjusted EBITDA”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to Assess HF Foods’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condensed consolidated financial statements included elsewhere in this report, and such information is not meant to replace or supersede GAAP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pStyle w:val="TextBody"/>
        <w:bidi w:val="0"/>
        <w:spacing w:before="0" w:after="0"/>
        <w:jc w:val="both"/>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excludes certain tax payments that may represent a reduction in cash available;</w:t>
      </w:r>
    </w:p>
    <w:p>
      <w:pPr>
        <w:pStyle w:val="TextBody"/>
        <w:bidi w:val="0"/>
        <w:spacing w:lineRule="auto" w:line="288" w:before="0" w:after="0"/>
        <w:ind w:left="0" w:right="0" w:hanging="540"/>
        <w:jc w:val="both"/>
        <w:rPr/>
      </w:pPr>
      <w:r>
        <w:rPr>
          <w:color w:val="000000"/>
        </w:rPr>
        <w:t>•</w:t>
      </w:r>
      <w:r>
        <w:rPr>
          <w:rFonts w:ascii="Times New Roman;sans-serif" w:hAnsi="Times New Roman;sans-serif"/>
          <w:b w:val="false"/>
          <w:color w:val="000000"/>
          <w:sz w:val="20"/>
        </w:rPr>
        <w:t>does not reflect any cash capital expenditure requirements for the assets being depreciated and amortized that may have to be replaced in the future;</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changes in, or cash requirements for, our working capital needs;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does not reflect the significant interest expense, or the cash requirements, necessary to service our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For additional information on EBITDA and Adjusted EBITDA and a reconciliation to their most directly comparable U.S. GAAP financial measures, see “</w:t>
      </w:r>
      <w:r>
        <w:rPr>
          <w:rFonts w:ascii="Times New Roman;sans-serif" w:hAnsi="Times New Roman;sans-serif"/>
          <w:b w:val="false"/>
          <w:i/>
          <w:color w:val="000000"/>
          <w:sz w:val="20"/>
        </w:rPr>
        <w:t>Results of Operations — EBITDA and Adjusted EBITDA</w:t>
      </w:r>
      <w:r>
        <w:rPr>
          <w:color w:val="000000"/>
        </w:rPr>
        <w:t xml:space="preserve">” </w:t>
      </w:r>
      <w:r>
        <w:rPr>
          <w:rFonts w:ascii="Times New Roman;sans-serif" w:hAnsi="Times New Roman;sans-serif"/>
          <w:b w:val="false"/>
          <w:color w:val="000000"/>
          <w:sz w:val="20"/>
        </w:rPr>
        <w:t>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Three Months Ended June 30, 2024 to Three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sets forth a summary of our consolidated results of operations for the three months ended June 30, 2024</w:t>
      </w:r>
      <w:r>
        <w:rPr>
          <w:color w:val="000000"/>
        </w:rPr>
        <w:t xml:space="preserve"> </w:t>
      </w:r>
      <w:r>
        <w:rPr>
          <w:rFonts w:ascii="Times New Roman;sans-serif" w:hAnsi="Times New Roman;sans-serif"/>
          <w:b w:val="false"/>
          <w:color w:val="000000"/>
          <w:sz w:val="20"/>
        </w:rPr>
        <w:t>and 2023</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10205" w:type="dxa"/>
        <w:jc w:val="left"/>
        <w:tblInd w:w="0" w:type="dxa"/>
        <w:tblLayout w:type="fixed"/>
        <w:tblCellMar>
          <w:top w:w="28" w:type="dxa"/>
          <w:left w:w="28" w:type="dxa"/>
          <w:bottom w:w="28" w:type="dxa"/>
          <w:right w:w="28" w:type="dxa"/>
        </w:tblCellMar>
      </w:tblPr>
      <w:tblGrid>
        <w:gridCol w:w="2236"/>
        <w:gridCol w:w="1964"/>
        <w:gridCol w:w="1968"/>
        <w:gridCol w:w="211"/>
        <w:gridCol w:w="827"/>
        <w:gridCol w:w="109"/>
        <w:gridCol w:w="109"/>
        <w:gridCol w:w="109"/>
        <w:gridCol w:w="109"/>
        <w:gridCol w:w="211"/>
        <w:gridCol w:w="827"/>
        <w:gridCol w:w="109"/>
        <w:gridCol w:w="109"/>
        <w:gridCol w:w="109"/>
        <w:gridCol w:w="109"/>
        <w:gridCol w:w="211"/>
        <w:gridCol w:w="721"/>
        <w:gridCol w:w="157"/>
      </w:tblGrid>
      <w:tr>
        <w:trPr/>
        <w:tc>
          <w:tcPr>
            <w:tcW w:w="223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616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w:t>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w:t>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loss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w:t>
            </w:r>
          </w:p>
        </w:tc>
      </w:tr>
      <w:tr>
        <w:trPr/>
        <w:tc>
          <w:tcPr>
            <w:tcW w:w="61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loss attributable to HF Foods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10205" w:type="dxa"/>
        <w:jc w:val="left"/>
        <w:tblInd w:w="0" w:type="dxa"/>
        <w:tblLayout w:type="fixed"/>
        <w:tblCellMar>
          <w:top w:w="28" w:type="dxa"/>
          <w:left w:w="28" w:type="dxa"/>
          <w:bottom w:w="28" w:type="dxa"/>
          <w:right w:w="28" w:type="dxa"/>
        </w:tblCellMar>
      </w:tblPr>
      <w:tblGrid>
        <w:gridCol w:w="2592"/>
        <w:gridCol w:w="2284"/>
        <w:gridCol w:w="2294"/>
        <w:gridCol w:w="352"/>
        <w:gridCol w:w="264"/>
        <w:gridCol w:w="534"/>
        <w:gridCol w:w="214"/>
        <w:gridCol w:w="214"/>
        <w:gridCol w:w="214"/>
        <w:gridCol w:w="352"/>
        <w:gridCol w:w="264"/>
        <w:gridCol w:w="627"/>
      </w:tblGrid>
      <w:tr>
        <w:trPr/>
        <w:tc>
          <w:tcPr>
            <w:tcW w:w="2592"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and comprehensive income (loss)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three months ended June 30, 2024 increased by $10.0 million, or 3.4%, compared to the same period in 2023. </w:t>
      </w:r>
      <w:r>
        <w:rPr>
          <w:rFonts w:ascii="Times New Roman;sans-serif" w:hAnsi="Times New Roman;sans-serif"/>
          <w:b w:val="false"/>
          <w:color w:val="000000"/>
          <w:sz w:val="20"/>
        </w:rPr>
        <w:t>This increase was primarily attributable to product cost inflation, volume increases and improved pricing in certain categories, such as chicken and seafood, partially offset by deflation in commodities, such as cooking oils, and the $3.1 million loss in revenue resulting from the exit of our chicken processing businesses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Gross profit was $52.5 million for </w:t>
      </w:r>
      <w:r>
        <w:rPr>
          <w:rFonts w:ascii="Times New Roman;sans-serif" w:hAnsi="Times New Roman;sans-serif"/>
          <w:b w:val="false"/>
          <w:color w:val="000000"/>
          <w:sz w:val="20"/>
          <w:shd w:fill="FFFFFF" w:val="clear"/>
        </w:rPr>
        <w:t>three months ended June 30, 2024</w:t>
      </w:r>
      <w:r>
        <w:rPr>
          <w:color w:val="000000"/>
        </w:rPr>
        <w:t xml:space="preserve"> </w:t>
      </w:r>
      <w:r>
        <w:rPr>
          <w:rFonts w:ascii="Times New Roman;sans-serif" w:hAnsi="Times New Roman;sans-serif"/>
          <w:b w:val="false"/>
          <w:color w:val="000000"/>
          <w:sz w:val="20"/>
        </w:rPr>
        <w:t xml:space="preserve">compared to $50.7 million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an increase of $1.8 million, or 3.6%. The increase was primarily attributable to increased net revenue. Gross profit margin for the </w:t>
      </w:r>
      <w:r>
        <w:rPr>
          <w:rFonts w:ascii="Times New Roman;sans-serif" w:hAnsi="Times New Roman;sans-serif"/>
          <w:b w:val="false"/>
          <w:color w:val="000000"/>
          <w:sz w:val="20"/>
          <w:shd w:fill="FFFFFF" w:val="clear"/>
        </w:rPr>
        <w:t>three months ended June 30, 2024</w:t>
      </w:r>
      <w:r>
        <w:rPr>
          <w:color w:val="000000"/>
        </w:rPr>
        <w:t xml:space="preserve"> </w:t>
      </w:r>
      <w:r>
        <w:rPr>
          <w:rFonts w:ascii="Times New Roman;sans-serif" w:hAnsi="Times New Roman;sans-serif"/>
          <w:b w:val="false"/>
          <w:color w:val="000000"/>
          <w:sz w:val="20"/>
        </w:rPr>
        <w:t xml:space="preserve">increased slightly to 17.4% compared to 17.3%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Distribution, selling and administrative expenses decreased by $2.4 million, or 4.6%,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primarily due to a decrease of $5.5 million in professional fees, partially offset by higher payroll and related labor costs. Distribution, selling and administrative expenses as a percentage of net revenue decreased to 16.5%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from 17.9% in the same period in 2023, primarily due to increased net revenue and lower professional fees, partially offset by increased headcount.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of $3.1 million remained consistent compared to the three months ended June 30, 2023, having increased slightly from $2.8 million. Average floating interest rates on our floating-rate debt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increased by approximately 0.4% on our line of credit and 0.3% on the JPMorgan Chase mortgage-secured term loan, compared to the same period in 2023. Our average daily line of credit balance increased by $19.2 million, or 51.7%, to $56.4 million for the three months ended June 30, 2024 from $37.2 million for the three months ended June 30, 2023, and our average daily JPMorgan Chase mortgage-secured term loan balance decreased by $5 million, or 4.6%, to $104.2 million for the three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from $109.3 million for the three months ended June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$1.6 million for the three months ended June 30, 2024, compared to an income tax expense of $0.2 million for the three months ended June 30, 2023, primarily due to discrete tax items related to the SEC settlement and stock-based compensation shortfalls impacting the tax provision for the current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income attributable to HF Foods Group Inc. was $0.0 million for the three months ended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compared to net loss of $0.9 million for the three months ended June 30, 2023. The improvement was primarily driven by an increase in our income from operations of $4.2 million, as well as the $5.3 million reversal of our lease guarantee liability, partially offset by our SEC settlement of $3.9 million, the decrease of the gain related to the fair value of interest rate swap contracts of $2.5 million and the increase of income tax expense of $1.4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8971" w:type="dxa"/>
        <w:jc w:val="left"/>
        <w:tblInd w:w="0" w:type="dxa"/>
        <w:tblLayout w:type="fixed"/>
        <w:tblCellMar>
          <w:top w:w="28" w:type="dxa"/>
          <w:left w:w="28" w:type="dxa"/>
          <w:bottom w:w="28" w:type="dxa"/>
          <w:right w:w="28" w:type="dxa"/>
        </w:tblCellMar>
      </w:tblPr>
      <w:tblGrid>
        <w:gridCol w:w="1518"/>
        <w:gridCol w:w="1337"/>
        <w:gridCol w:w="1345"/>
        <w:gridCol w:w="109"/>
        <w:gridCol w:w="109"/>
        <w:gridCol w:w="109"/>
        <w:gridCol w:w="467"/>
        <w:gridCol w:w="386"/>
        <w:gridCol w:w="290"/>
        <w:gridCol w:w="241"/>
        <w:gridCol w:w="241"/>
        <w:gridCol w:w="241"/>
        <w:gridCol w:w="467"/>
        <w:gridCol w:w="344"/>
        <w:gridCol w:w="346"/>
        <w:gridCol w:w="109"/>
        <w:gridCol w:w="109"/>
        <w:gridCol w:w="109"/>
        <w:gridCol w:w="369"/>
        <w:gridCol w:w="284"/>
        <w:gridCol w:w="287"/>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11,543</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non-routine expense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Represents non-recurring costs associated with the launch of strategic projects including supply chain management improvements and technology infrastructure initiatives. </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Includes contested proxy and related legal and consulting costs and facility closure costs.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Six Months Ended June 30, 2024 to Six Months Ended June 30, 2023</w:t>
      </w:r>
    </w:p>
    <w:p>
      <w:pPr>
        <w:pStyle w:val="TextBody"/>
        <w:bidi w:val="0"/>
        <w:spacing w:lineRule="auto" w:line="288" w:before="120" w:after="283"/>
        <w:jc w:val="both"/>
        <w:rPr/>
      </w:pPr>
      <w:r>
        <w:rPr>
          <w:rFonts w:ascii="Times New Roman;sans-serif" w:hAnsi="Times New Roman;sans-serif"/>
          <w:b w:val="false"/>
          <w:color w:val="000000"/>
          <w:sz w:val="20"/>
        </w:rPr>
        <w:t>The following table sets forth a summary of our consolidated results of operations for the six months ended June 30, 2024</w:t>
      </w:r>
      <w:r>
        <w:rPr>
          <w:color w:val="000000"/>
        </w:rPr>
        <w:t xml:space="preserve"> </w:t>
      </w:r>
      <w:r>
        <w:rPr>
          <w:rFonts w:ascii="Times New Roman;sans-serif" w:hAnsi="Times New Roman;sans-serif"/>
          <w:b w:val="false"/>
          <w:color w:val="000000"/>
          <w:sz w:val="20"/>
        </w:rPr>
        <w:t>and 2023</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historical results presented below are not necessarily indicative of the results that may be expected for any future period.</w:t>
      </w:r>
    </w:p>
    <w:tbl>
      <w:tblPr>
        <w:tblW w:w="9919" w:type="dxa"/>
        <w:jc w:val="left"/>
        <w:tblInd w:w="0" w:type="dxa"/>
        <w:tblLayout w:type="fixed"/>
        <w:tblCellMar>
          <w:top w:w="28" w:type="dxa"/>
          <w:left w:w="28" w:type="dxa"/>
          <w:bottom w:w="28" w:type="dxa"/>
          <w:right w:w="28" w:type="dxa"/>
        </w:tblCellMar>
      </w:tblPr>
      <w:tblGrid>
        <w:gridCol w:w="2051"/>
        <w:gridCol w:w="1804"/>
        <w:gridCol w:w="1814"/>
        <w:gridCol w:w="211"/>
        <w:gridCol w:w="826"/>
        <w:gridCol w:w="109"/>
        <w:gridCol w:w="109"/>
        <w:gridCol w:w="109"/>
        <w:gridCol w:w="109"/>
        <w:gridCol w:w="211"/>
        <w:gridCol w:w="826"/>
        <w:gridCol w:w="109"/>
        <w:gridCol w:w="109"/>
        <w:gridCol w:w="109"/>
        <w:gridCol w:w="109"/>
        <w:gridCol w:w="211"/>
        <w:gridCol w:w="721"/>
        <w:gridCol w:w="109"/>
        <w:gridCol w:w="109"/>
        <w:gridCol w:w="154"/>
      </w:tblGrid>
      <w:tr>
        <w:trPr/>
        <w:tc>
          <w:tcPr>
            <w:tcW w:w="205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63" w:type="dxa"/>
            <w:gridSpan w:val="2"/>
            <w:tcBorders/>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 attributable to HF Foods Group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consolidated results of operations expressed as a percentage of net revenue for the periods indicated:</w:t>
      </w:r>
    </w:p>
    <w:tbl>
      <w:tblPr>
        <w:tblW w:w="8546" w:type="dxa"/>
        <w:jc w:val="left"/>
        <w:tblInd w:w="0" w:type="dxa"/>
        <w:tblLayout w:type="fixed"/>
        <w:tblCellMar>
          <w:top w:w="28" w:type="dxa"/>
          <w:left w:w="28" w:type="dxa"/>
          <w:bottom w:w="28" w:type="dxa"/>
          <w:right w:w="28" w:type="dxa"/>
        </w:tblCellMar>
      </w:tblPr>
      <w:tblGrid>
        <w:gridCol w:w="2049"/>
        <w:gridCol w:w="1806"/>
        <w:gridCol w:w="1814"/>
        <w:gridCol w:w="352"/>
        <w:gridCol w:w="264"/>
        <w:gridCol w:w="488"/>
        <w:gridCol w:w="196"/>
        <w:gridCol w:w="196"/>
        <w:gridCol w:w="196"/>
        <w:gridCol w:w="352"/>
        <w:gridCol w:w="264"/>
        <w:gridCol w:w="569"/>
      </w:tblGrid>
      <w:tr>
        <w:trPr/>
        <w:tc>
          <w:tcPr>
            <w:tcW w:w="204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selling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 attributable to HF Foods Group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Net revenue for the six months ended June 30, 2024 increased by $11.8 million, or 2.0%, compared to the same period in 2023. </w:t>
      </w:r>
      <w:r>
        <w:rPr>
          <w:rFonts w:ascii="Times New Roman;sans-serif" w:hAnsi="Times New Roman;sans-serif"/>
          <w:b w:val="false"/>
          <w:color w:val="000000"/>
          <w:sz w:val="20"/>
        </w:rPr>
        <w:t>This increase was primarily attributable to product cost inflation and improved pricing in certain categories, partially offset by the $5.8 million loss in revenue resulting from the exit of our chicken processing businesses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Gross profit was $102.9 million for the six months</w:t>
      </w:r>
      <w:r>
        <w:rPr>
          <w:color w:val="000000"/>
          <w:shd w:fill="FFFFFF" w:val="clear"/>
        </w:rPr>
        <w:t xml:space="preserve"> </w:t>
      </w:r>
      <w:r>
        <w:rPr>
          <w:rFonts w:ascii="Times New Roman;sans-serif" w:hAnsi="Times New Roman;sans-serif"/>
          <w:b w:val="false"/>
          <w:color w:val="000000"/>
          <w:sz w:val="20"/>
          <w:shd w:fill="FFFFFF" w:val="clear"/>
        </w:rPr>
        <w:t>ended June 30, 2024</w:t>
      </w:r>
      <w:r>
        <w:rPr>
          <w:color w:val="000000"/>
        </w:rPr>
        <w:t xml:space="preserve"> </w:t>
      </w:r>
      <w:r>
        <w:rPr>
          <w:rFonts w:ascii="Times New Roman;sans-serif" w:hAnsi="Times New Roman;sans-serif"/>
          <w:b w:val="false"/>
          <w:color w:val="000000"/>
          <w:sz w:val="20"/>
        </w:rPr>
        <w:t xml:space="preserve">compared to $100.8 million in the same period in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an increase of $2.1 million, or </w:t>
      </w:r>
      <w:r>
        <w:rPr>
          <w:rFonts w:ascii="Times New Roman;sans-serif" w:hAnsi="Times New Roman;sans-serif"/>
          <w:b w:val="false"/>
          <w:color w:val="000000"/>
          <w:sz w:val="20"/>
          <w:shd w:fill="FFFFFF" w:val="clear"/>
        </w:rPr>
        <w:t>2.0%</w:t>
      </w:r>
      <w:r>
        <w:rPr>
          <w:rFonts w:ascii="Times New Roman;sans-serif" w:hAnsi="Times New Roman;sans-serif"/>
          <w:b w:val="false"/>
          <w:color w:val="000000"/>
          <w:sz w:val="20"/>
        </w:rPr>
        <w:t xml:space="preserve">. The gross profit increase was primarily attributable to increased net revenue. Gross profit margin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was flat at 17.2% in the same period in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Distribution, Selling and Administrative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Distribution, selling and administrative expenses of $100.3 million for the six months</w:t>
      </w:r>
      <w:r>
        <w:rPr>
          <w:color w:val="000000"/>
          <w:shd w:fill="FFFFFF" w:val="clear"/>
        </w:rPr>
        <w:t xml:space="preserve"> </w:t>
      </w:r>
      <w:r>
        <w:rPr>
          <w:rFonts w:ascii="Times New Roman;sans-serif" w:hAnsi="Times New Roman;sans-serif"/>
          <w:b w:val="false"/>
          <w:color w:val="000000"/>
          <w:sz w:val="20"/>
          <w:shd w:fill="FFFFFF" w:val="clear"/>
        </w:rPr>
        <w:t>ended June 30, 2024</w:t>
      </w:r>
      <w:r>
        <w:rPr>
          <w:color w:val="000000"/>
        </w:rPr>
        <w:t xml:space="preserve"> </w:t>
      </w:r>
      <w:r>
        <w:rPr>
          <w:rFonts w:ascii="Times New Roman;sans-serif" w:hAnsi="Times New Roman;sans-serif"/>
          <w:b w:val="false"/>
          <w:color w:val="000000"/>
          <w:sz w:val="20"/>
        </w:rPr>
        <w:t xml:space="preserve">decreased compared to prior year expenses of $105.2 million primarily due to a decrease of $8.4 million in professional fees, partially offset by higher payroll and related labor costs. Distribution, selling and administrative expenses as a percentage of net revenue decreased to 16.8%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from 17.9% in the same period in 2023, primarily due to lower professional fees and increased net revenue, partially offset by increased headcount.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Interest expense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increased by $0.2 million or </w:t>
      </w:r>
      <w:r>
        <w:rPr>
          <w:rFonts w:ascii="Times New Roman;sans-serif" w:hAnsi="Times New Roman;sans-serif"/>
          <w:b w:val="false"/>
          <w:color w:val="000000"/>
          <w:sz w:val="20"/>
          <w:shd w:fill="FFFFFF" w:val="clear"/>
        </w:rPr>
        <w:t>4.2%</w:t>
      </w:r>
      <w:r>
        <w:rPr>
          <w:rFonts w:ascii="Times New Roman;sans-serif" w:hAnsi="Times New Roman;sans-serif"/>
          <w:b w:val="false"/>
          <w:color w:val="000000"/>
          <w:sz w:val="20"/>
        </w:rPr>
        <w:t xml:space="preserve">, compared to the six months ended June 30, 2023, primarily due to a slightly higher interest-rate environment. Average floating interest rates on our floating-rate debt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increased by approximately 0.6% on the line of credit and 0.6% on the JPMorgan Chase mortgage-secured term loan, compared to the same period in 2023. Our average daily line of credit balance increased by $10.7 million, or 26.8%, to $50.6 million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 xml:space="preserve">from $39.9 million for the six months ended June 30, 2023, and our average daily JPMorgan Chase mortgage-secured term loan balance decreased by $5.0 million, or 4.5%, to $104.9 million for the six months ended </w:t>
      </w:r>
      <w:r>
        <w:rPr>
          <w:rFonts w:ascii="Times New Roman;sans-serif" w:hAnsi="Times New Roman;sans-serif"/>
          <w:b w:val="false"/>
          <w:color w:val="000000"/>
          <w:sz w:val="20"/>
          <w:shd w:fill="FFFFFF" w:val="clear"/>
        </w:rPr>
        <w:t>June 30, 2024</w:t>
      </w:r>
      <w:r>
        <w:rPr>
          <w:color w:val="000000"/>
        </w:rPr>
        <w:t xml:space="preserve"> </w:t>
      </w:r>
      <w:r>
        <w:rPr>
          <w:rFonts w:ascii="Times New Roman;sans-serif" w:hAnsi="Times New Roman;sans-serif"/>
          <w:b w:val="false"/>
          <w:color w:val="000000"/>
          <w:sz w:val="20"/>
        </w:rPr>
        <w:t>from $109.9 million for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Expense (Benefit)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$1.4 million for the six months ended June 30, 2024, compared to an income tax benefit of $2.0 million for the six months ended June 30, 2023, primarily due to discrete tax expense items impacting the tax provision for the current period compared to losses from operations in the prior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HF Foods Group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Net loss attributable to HF Foods Group Inc. was $0.7 million for the six months ended </w:t>
      </w:r>
      <w:r>
        <w:rPr>
          <w:rFonts w:ascii="Times New Roman;sans-serif" w:hAnsi="Times New Roman;sans-serif"/>
          <w:b w:val="false"/>
          <w:color w:val="000000"/>
          <w:sz w:val="20"/>
          <w:shd w:fill="FFFFFF" w:val="clear"/>
        </w:rPr>
        <w:t>June 30, 2024</w:t>
      </w:r>
      <w:r>
        <w:rPr>
          <w:rFonts w:ascii="Times New Roman;sans-serif" w:hAnsi="Times New Roman;sans-serif"/>
          <w:b w:val="false"/>
          <w:color w:val="000000"/>
          <w:sz w:val="20"/>
        </w:rPr>
        <w:t>, compared to net loss of $6.8 million for the six months ended June 30, 2023. The improvement of $6.1 million was primarily driven by an increase in our income from operations of $6.9 million, the $5.3 million reversal of our lease guarantee liability and the increase of the gain related to the fair value of interest rate swap contracts of $2.2 million, partially offset by our SEC settlement of $3.9 million and the increase of income tax expense of $3.4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Adjusted EBITDA to the most directly comparable GAAP measure:</w:t>
      </w:r>
    </w:p>
    <w:tbl>
      <w:tblPr>
        <w:tblW w:w="8819" w:type="dxa"/>
        <w:jc w:val="left"/>
        <w:tblInd w:w="0" w:type="dxa"/>
        <w:tblLayout w:type="fixed"/>
        <w:tblCellMar>
          <w:top w:w="28" w:type="dxa"/>
          <w:left w:w="28" w:type="dxa"/>
          <w:bottom w:w="28" w:type="dxa"/>
          <w:right w:w="28" w:type="dxa"/>
        </w:tblCellMar>
      </w:tblPr>
      <w:tblGrid>
        <w:gridCol w:w="1520"/>
        <w:gridCol w:w="1335"/>
        <w:gridCol w:w="1345"/>
        <w:gridCol w:w="109"/>
        <w:gridCol w:w="109"/>
        <w:gridCol w:w="109"/>
        <w:gridCol w:w="424"/>
        <w:gridCol w:w="337"/>
        <w:gridCol w:w="339"/>
        <w:gridCol w:w="219"/>
        <w:gridCol w:w="219"/>
        <w:gridCol w:w="219"/>
        <w:gridCol w:w="424"/>
        <w:gridCol w:w="344"/>
        <w:gridCol w:w="346"/>
        <w:gridCol w:w="109"/>
        <w:gridCol w:w="109"/>
        <w:gridCol w:w="109"/>
        <w:gridCol w:w="369"/>
        <w:gridCol w:w="284"/>
        <w:gridCol w:w="287"/>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13,266</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20,313</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guarantee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Business transformation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non-routine expense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19,263</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Represents non-recurring costs associated with the launch of strategic projects including supply chain management improvements and technology infrastructure initiatives.</w:t>
      </w:r>
    </w:p>
    <w:p>
      <w:pPr>
        <w:pStyle w:val="TextBody"/>
        <w:bidi w:val="0"/>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    Includes contested proxy and related legal and consulting costs and facility closure costs.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cash of approximately $14.0 million, checks issued not presented for payment of $6.5 million and access to approximately $29.9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June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is also affected by the entry of an administrative civil cease-and-desist order by the SEC, whereby we agreed to payment of a civil monetary penalty of $3.9 million. We made this payment during the three months ended June 30,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no off balance sheet arrangements that currently have or are reasonably likely to have a material effect on our consolidated financial position, changes in financial condition, results of operations, liquidity, capital expenditures or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following table summarizes cash flow data for the three months ended June 30, 2024</w:t>
      </w:r>
      <w:r>
        <w:rPr>
          <w:color w:val="000000"/>
        </w:rPr>
        <w:t xml:space="preserve"> </w:t>
      </w:r>
      <w:r>
        <w:rPr>
          <w:rFonts w:ascii="Times New Roman;sans-serif" w:hAnsi="Times New Roman;sans-serif"/>
          <w:b w:val="false"/>
          <w:color w:val="000000"/>
          <w:sz w:val="20"/>
        </w:rPr>
        <w:t>and 2023:</w:t>
      </w:r>
    </w:p>
    <w:tbl>
      <w:tblPr>
        <w:tblW w:w="8087" w:type="dxa"/>
        <w:jc w:val="left"/>
        <w:tblInd w:w="0" w:type="dxa"/>
        <w:tblLayout w:type="fixed"/>
        <w:tblCellMar>
          <w:top w:w="28" w:type="dxa"/>
          <w:left w:w="28" w:type="dxa"/>
          <w:bottom w:w="28" w:type="dxa"/>
          <w:right w:w="28" w:type="dxa"/>
        </w:tblCellMar>
      </w:tblPr>
      <w:tblGrid>
        <w:gridCol w:w="1524"/>
        <w:gridCol w:w="1342"/>
        <w:gridCol w:w="1349"/>
        <w:gridCol w:w="214"/>
        <w:gridCol w:w="701"/>
        <w:gridCol w:w="110"/>
        <w:gridCol w:w="110"/>
        <w:gridCol w:w="110"/>
        <w:gridCol w:w="110"/>
        <w:gridCol w:w="214"/>
        <w:gridCol w:w="701"/>
        <w:gridCol w:w="110"/>
        <w:gridCol w:w="109"/>
        <w:gridCol w:w="109"/>
        <w:gridCol w:w="109"/>
        <w:gridCol w:w="211"/>
        <w:gridCol w:w="691"/>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operating activities consists primarily of net income, which includes a $3.9 million civil monetary penalty payment, adjusted for non-cash items, including depreciation and amortization, changes in deferred income taxes and others, and includes the effect of working capital changes. Net cash (used in) provided by operating activities decreased by $8.7 million primarily due to the timing of working capital outlays and the $3.9 million SEC settlement payment partially offset by improved operating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by $4.8 million primarily due to increased capital project spend in the six months ended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financing activities decreased by $21.6 million to $5.1 million provided by financing activities primarily due to net line of credit activity, as well as the checks issued not presented for payment activity for the six months ended June 30, 2024 compared to the six months ended June 30,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prepared the financial information in this Quarterly Report in accordance with GAAP. Preparing our condensed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2023 Annual Report on Form 10-K includes a summary of the critical accounting policies and estimates we believe are the most important to aid in understanding our financial results. There have been no changes to those critical accounting policies and estimates that have had a material impact on our reported amounts of assets, liabilities, revenue, or expenses during the three months ended June 30, 2024. Additionally, see </w:t>
      </w:r>
      <w:r>
        <w:rPr>
          <w:rFonts w:ascii="Times New Roman;sans-serif" w:hAnsi="Times New Roman;sans-serif"/>
          <w:b w:val="false"/>
          <w:i/>
          <w:color w:val="000000"/>
          <w:sz w:val="20"/>
        </w:rPr>
        <w:t>Note 6 - Goodwill and Acquired Intangible Assets</w:t>
      </w:r>
      <w:r>
        <w:rPr>
          <w:color w:val="000000"/>
        </w:rPr>
        <w:t xml:space="preserve"> </w:t>
      </w:r>
      <w:r>
        <w:rPr>
          <w:rFonts w:ascii="Times New Roman;sans-serif" w:hAnsi="Times New Roman;sans-serif"/>
          <w:b w:val="false"/>
          <w:color w:val="000000"/>
          <w:sz w:val="20"/>
        </w:rPr>
        <w:t xml:space="preserve">of our condensed consolidated financial statements on this Form 10-Q for disclosure regarding the Company’s single reporting unit.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a discussion of recent accounting pronouncements, see </w:t>
      </w:r>
      <w:r>
        <w:rPr>
          <w:rFonts w:ascii="Times New Roman;sans-serif" w:hAnsi="Times New Roman;sans-serif"/>
          <w:b w:val="false"/>
          <w:i/>
          <w:color w:val="000000"/>
          <w:sz w:val="20"/>
        </w:rPr>
        <w:t>Note 2 - Summary of Significant Accounting Policies</w:t>
      </w:r>
      <w:r>
        <w:rPr>
          <w:color w:val="000000"/>
        </w:rPr>
        <w:t xml:space="preserve"> </w:t>
      </w:r>
      <w:r>
        <w:rPr>
          <w:rFonts w:ascii="Times New Roman;sans-serif" w:hAnsi="Times New Roman;sans-serif"/>
          <w:b w:val="false"/>
          <w:color w:val="000000"/>
          <w:sz w:val="20"/>
        </w:rPr>
        <w:t>to the condensed consolidated financial statements in this Quarterly Report on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sans-serif" w:hAnsi="Times New Roman;sans-serif"/>
          <w:b w:val="false"/>
          <w:i/>
          <w:color w:val="000000"/>
          <w:sz w:val="20"/>
        </w:rPr>
        <w:t xml:space="preserve">Note 7 - Derivative Financial Instruments </w:t>
      </w:r>
      <w:r>
        <w:rPr>
          <w:rFonts w:ascii="Times New Roman;sans-serif" w:hAnsi="Times New Roman;sans-serif"/>
          <w:b w:val="false"/>
          <w:color w:val="000000"/>
          <w:sz w:val="20"/>
        </w:rPr>
        <w:t>to the condensed consolidated financial statements in this Quarterly Report on Form 10-Q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June 30, 2024, our aggregate floating rate debt’s outstanding principal balance without hedging was $68.6 million, or 38.5% of total debt, consisting primarily of our revolving line of credit (see </w:t>
      </w:r>
      <w:r>
        <w:rPr>
          <w:rFonts w:ascii="Times New Roman;sans-serif" w:hAnsi="Times New Roman;sans-serif"/>
          <w:b w:val="false"/>
          <w:i/>
          <w:color w:val="000000"/>
          <w:sz w:val="20"/>
        </w:rPr>
        <w:t>Note 8 - Debt</w:t>
      </w:r>
      <w:r>
        <w:rPr>
          <w:color w:val="000000"/>
        </w:rPr>
        <w:t xml:space="preserve"> </w:t>
      </w:r>
      <w:r>
        <w:rPr>
          <w:rFonts w:ascii="Times New Roman;sans-serif" w:hAnsi="Times New Roman;sans-serif"/>
          <w:b w:val="false"/>
          <w:color w:val="000000"/>
          <w:sz w:val="20"/>
        </w:rPr>
        <w:t>to the condensed consolidated financial statements in this Quarterly Report on Form 10-Q). Our floating rate debt interest is based on the floating 1-month SOFR plus a predetermined credit adjustment rate plus the bank spread. The remaining 61.5% of our debt is on a fixed rate or a floating rate with hedging. In a hypothetical scenario, a 1% change in the applicable rate would cause the interest expense on our floating rate debt to change by approximately $0.7 million per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the second quarter of 2024 decreased in comparison to average prices in the same period in 2023, decreasing 1.6%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actively hedge the price fluctuation of diesel fuel in general. Instead, we seek to minimize fuel cost risk through delivery route optimization and fleet utilization improvement.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2023, we identified material weaknesses as were reported previously, which continue to exist as of June 30, 2024. We did not properly design or maintain effective controls over the control environment, risk assessment, control activities, information and communication components and monitoring of the Committee of Sponsoring Organizations of the Treadway Commission in 2013.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principal executive officer and principal financial and accounting officer have concluded that as a result of the material weaknesses and control deficiencies as reported in our Annual Report on Form 10-K for the year ended December 31, 2023, our disclosure controls and procedures were not effective as of June 30, 2024. Notwithstanding the weaknesses, our management has concluded that the financial statements included elsewhere in this report present fairly, and in all material respects, our financial position, results of operation and cash flow in conformity with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 and Disclosure Controls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remains committed to ongoing efforts to address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previously identified will continue to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previously disclosed, there have been no changes in our internal controls over financial reporting for the quarter ended June 30, 2024, that have materially affected, or are reasonably likely to materially affect, our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both"/>
        <w:rPr/>
      </w:pPr>
      <w:r>
        <w:rPr>
          <w:rFonts w:ascii="Times New Roman;sans-serif" w:hAnsi="Times New Roman;sans-serif"/>
          <w:b w:val="false"/>
          <w:color w:val="000000"/>
          <w:sz w:val="20"/>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sans-serif" w:hAnsi="Times New Roman;sans-serif"/>
          <w:b w:val="false"/>
          <w:i/>
          <w:color w:val="000000"/>
          <w:sz w:val="20"/>
        </w:rPr>
        <w:t>Note 13 - Commitments and Contingencies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from the risk factors disclosed in Item 1A of our Annual Report on Form 10-K for the year ended December 31, 2023 and Quarterly Report on Form 10-Q for the quarter ended March 31, 2024.</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Turnover among our senior management, directors and other key personnel may create uncertainty and adversely affect our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substantially dependent on our senior management, directors and other key personnel. Our senior management, directors and other key personnel have been primarily responsible for determining the strategic direction of our business and for executing our growth strategy, and are integral to our brand, culture and reputation with suppliers and consumers. The loss of the services of any senior management, directors or other key personnel could have a material adverse effect on our business and prospects. We have recently appointed four new members to our board of directors as part of our continuous efforts to enhance our corporate governance and our future strategies and plans. Our new directors have different professional experiences and industry knowledge from those individuals who previously served, and we expect they will have different views on the issues that will determine our future strategies and plans. Such changes to strategic or operating goals may ultimately be unsuccessful. In addition, transition periods relating to such changes are often difficult as new personnel gain more detailed knowledge of our operations and management. If we do not integrate any new personnel successfully, including our new directors, we may be unable to manage and grow our business, and our financial condition and profitability may suffer as a result. Any departure of senior management, directors and other key personnel could be viewed in a negative light by investors and analysts, which may cause our stock price to decline.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from Registered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officers or directors adopted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herein by reference or are filed or furnished with this report as indicated below:</w:t>
      </w:r>
    </w:p>
    <w:tbl>
      <w:tblPr>
        <w:tblW w:w="10205" w:type="dxa"/>
        <w:jc w:val="left"/>
        <w:tblInd w:w="0" w:type="dxa"/>
        <w:tblLayout w:type="fixed"/>
        <w:tblCellMar>
          <w:top w:w="28" w:type="dxa"/>
          <w:left w:w="28" w:type="dxa"/>
          <w:bottom w:w="28" w:type="dxa"/>
          <w:right w:w="28" w:type="dxa"/>
        </w:tblCellMar>
      </w:tblPr>
      <w:tblGrid>
        <w:gridCol w:w="354"/>
        <w:gridCol w:w="311"/>
        <w:gridCol w:w="312"/>
        <w:gridCol w:w="109"/>
        <w:gridCol w:w="109"/>
        <w:gridCol w:w="109"/>
        <w:gridCol w:w="1920"/>
        <w:gridCol w:w="1796"/>
        <w:gridCol w:w="1814"/>
        <w:gridCol w:w="109"/>
        <w:gridCol w:w="109"/>
        <w:gridCol w:w="109"/>
        <w:gridCol w:w="269"/>
        <w:gridCol w:w="269"/>
        <w:gridCol w:w="273"/>
        <w:gridCol w:w="120"/>
        <w:gridCol w:w="120"/>
        <w:gridCol w:w="120"/>
        <w:gridCol w:w="245"/>
        <w:gridCol w:w="245"/>
        <w:gridCol w:w="246"/>
        <w:gridCol w:w="120"/>
        <w:gridCol w:w="120"/>
        <w:gridCol w:w="120"/>
        <w:gridCol w:w="224"/>
        <w:gridCol w:w="224"/>
        <w:gridCol w:w="329"/>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8/11/2017</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8/27/2018</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11/4/2022</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First Amendment to Amended and Restated Bylaws, dated April 25,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4/26/2023</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Designation of Rights, Preferences and Privileges of Series A Participating Preferred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4/11/2023</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Specimen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Form of Unit Purchase Option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7/28/2017</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Amendment to Preferred Stock Rights Agreement, dated as of April 11, 2024, by and between HF Foods Group Inc. and Equiniti Trust Company, LLC (f/k/a American Stock Transfer &amp; Trust Company, LLC), as rights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4/12/2024</w:t>
            </w:r>
          </w:p>
        </w:tc>
      </w:tr>
      <w:tr>
        <w:trPr/>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Offer Letter, dated April 22, 2024, by and among HF Foods Group Inc. and Cindy Yao.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4/25/2024</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Lease dated July 2, 2018, between Anheart Inc. and 825 Broadway Realty, LLC, Samayabeneli RE LLC, AS 2 East 30, LLC, 273 Yoco LLC, and UBA 2 East 30,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5/6/2024</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Amendment to Lease, dated as of January 21, 2021, between Anheart, Inc. and 825 Broadway Realty, LLC, Samayabeneli RE LLC, AS 2 East 30, LLC, 273 Yoco LLC, and UBA 2 East 30,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5/6/2024</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Assignment and Assumption of Lease Agreement, dated as of August 16, 2022 and effective as of April 30, 2024, between Anheart, Inc. and 273 Fifth Avenue,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5/6/2024</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10.5</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Restricted Stock Unit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10.6</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Performance Awards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10.7</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First Amendment to HF Foods Group Inc. 2018 Omnibus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"https://www.sec.gov/Archives/edgar/data/1680873/000168087324000019/hffg-20240424.htm" \l "ia320fe9e2b4a4386878434d3c6b41321_739"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10.8</w:t>
            </w:r>
            <w:r>
              <w:rPr>
                <w:rStyle w:val="InternetLink"/>
                <w:sz w:val="20"/>
                <w:u w:val="single"/>
                <w:b w:val="false"/>
                <w:rFonts w:ascii="Times New Roman;sans-serif" w:hAnsi="Times New Roman;sans-serif"/>
                <w:color w:val="0000FF"/>
              </w:rPr>
              <w:fldChar w:fldCharType="end"/>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"https://www.sec.gov/Archives/edgar/data/1680873/000168087324000019/hffg-20240424.htm" \l "ia320fe9e2b4a4386878434d3c6b41321_739"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Second Amendment to HF Foods Group Inc. 2018 Omnibus Equity Incentive Plan</w:t>
            </w:r>
            <w:r>
              <w:rPr>
                <w:rStyle w:val="InternetLink"/>
                <w:sz w:val="20"/>
                <w:u w:val="single"/>
                <w:b w:val="false"/>
                <w:rFonts w:ascii="Times New Roman;sans-serif" w:hAnsi="Times New Roman;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DEF14A</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4/24/2024</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10.9</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Separation Agreement, effective May 31, 2024, between HF Foods Group Inc. and Carlos Rodriguez.</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6/5/2024</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10.10</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Form of Director Letter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6/28/2024</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2q-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2q-ex311.htm">
              <w:r>
                <w:rPr>
                  <w:rStyle w:val="InternetLink"/>
                  <w:rFonts w:ascii="Times New Roman;sans-serif" w:hAnsi="Times New Roman;sans-serif"/>
                  <w:b w:val="false"/>
                  <w:color w:val="0000FF"/>
                  <w:sz w:val="20"/>
                  <w:u w:val="single"/>
                </w:rPr>
                <w:t>Certification of Chief Executive Officer pursuant to Rule 13a-14 and Rule 15d-14(a), promulgated under the Securities and Exchange Act of 1934,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2q-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2q-ex312.htm">
              <w:r>
                <w:rPr>
                  <w:rStyle w:val="InternetLink"/>
                  <w:rFonts w:ascii="Times New Roman;sans-serif" w:hAnsi="Times New Roman;sans-serif"/>
                  <w:b w:val="false"/>
                  <w:color w:val="0000FF"/>
                  <w:sz w:val="20"/>
                  <w:u w:val="single"/>
                </w:rPr>
                <w:t>Certification of Chief Financial Officer pursuant to Rule 13a-14 and Rule 15d-14(a), promulgated under the Securities and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2q-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42q-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2q-ex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42q-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5610" w:type="dxa"/>
        <w:jc w:val="left"/>
        <w:tblInd w:w="0" w:type="dxa"/>
        <w:tblLayout w:type="fixed"/>
        <w:tblCellMar>
          <w:top w:w="28" w:type="dxa"/>
          <w:left w:w="28" w:type="dxa"/>
          <w:bottom w:w="28" w:type="dxa"/>
          <w:right w:w="28" w:type="dxa"/>
        </w:tblCellMar>
      </w:tblPr>
      <w:tblGrid>
        <w:gridCol w:w="124"/>
        <w:gridCol w:w="109"/>
        <w:gridCol w:w="109"/>
        <w:gridCol w:w="848"/>
        <w:gridCol w:w="848"/>
        <w:gridCol w:w="848"/>
        <w:gridCol w:w="848"/>
        <w:gridCol w:w="848"/>
        <w:gridCol w:w="87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Furnished herewith.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Indicates a management contract or compensatory plan or arrangement.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88" w:type="dxa"/>
        <w:jc w:val="left"/>
        <w:tblInd w:w="0" w:type="dxa"/>
        <w:tblLayout w:type="fixed"/>
        <w:tblCellMar>
          <w:top w:w="28" w:type="dxa"/>
          <w:left w:w="28" w:type="dxa"/>
          <w:bottom w:w="28" w:type="dxa"/>
          <w:right w:w="28" w:type="dxa"/>
        </w:tblCellMar>
      </w:tblPr>
      <w:tblGrid>
        <w:gridCol w:w="667"/>
        <w:gridCol w:w="587"/>
        <w:gridCol w:w="590"/>
        <w:gridCol w:w="1064"/>
        <w:gridCol w:w="1064"/>
        <w:gridCol w:w="151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 Foods Group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b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Cindy Yao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br/>
              <w:t>(Principal accounting and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Xiao Mou Zhang,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06"/>
        <w:gridCol w:w="606"/>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Cindy Yao,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HF Foods Group Inc.;</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586"/>
        <w:gridCol w:w="586"/>
        <w:gridCol w:w="8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Cindy Yao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Executive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June 30, 2024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31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606"/>
        <w:gridCol w:w="606"/>
        <w:gridCol w:w="85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Xiao Mou Zhang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Chief Financial Officer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HF Foods Group Inc. (the “Company”) for the quarterly period ended June 30, 2024 as filed with the Securities and Exchange Commission on the date hereof (the “Report”), I, Cindy Yao, Chief Financial Officer, certify, to the best of my knowledge and belief, pursuant to 18 U.S.C. § 1350, as adopted pursuant to § 906 of the Sarbanes-Oxley Act of 2002,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(15 U.S.C. 78m(a) or 78o(d));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2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586"/>
        <w:gridCol w:w="586"/>
        <w:gridCol w:w="83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Cindy Yao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Cindy Yao</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0873/000143774919021487/ex_162902.htm" TargetMode="External"/><Relationship Id="rId3" Type="http://schemas.openxmlformats.org/officeDocument/2006/relationships/hyperlink" Target="https://www.sec.gov/Archives/edgar/data/1680873/000143774919021487/ex_162902.htm" TargetMode="External"/><Relationship Id="rId4" Type="http://schemas.openxmlformats.org/officeDocument/2006/relationships/hyperlink" Target="https://www.sec.gov/Archives/edgar/data/1680873/000161577418008665/s112256ex3_1-2.htm" TargetMode="External"/><Relationship Id="rId5" Type="http://schemas.openxmlformats.org/officeDocument/2006/relationships/hyperlink" Target="https://www.sec.gov/Archives/edgar/data/1680873/000161577418008665/s112256ex3_1-2.htm" TargetMode="External"/><Relationship Id="rId6" Type="http://schemas.openxmlformats.org/officeDocument/2006/relationships/hyperlink" Target="https://www.sec.gov/Archives/edgar/data/1680873/000168087322000056/ex302-arbylawsxnovember2022.htm" TargetMode="External"/><Relationship Id="rId7" Type="http://schemas.openxmlformats.org/officeDocument/2006/relationships/hyperlink" Target="https://www.sec.gov/Archives/edgar/data/1680873/000168087322000056/ex302-arbylawsxnovember2022.htm" TargetMode="External"/><Relationship Id="rId8" Type="http://schemas.openxmlformats.org/officeDocument/2006/relationships/hyperlink" Target="https://www.sec.gov/Archives/edgar/data/1680873/000168087323000016/exhibit31-bylawamendment.htm" TargetMode="External"/><Relationship Id="rId9" Type="http://schemas.openxmlformats.org/officeDocument/2006/relationships/hyperlink" Target="https://www.sec.gov/Archives/edgar/data/1680873/000168087323000016/exhibit31-bylawamendment.htm" TargetMode="External"/><Relationship Id="rId10" Type="http://schemas.openxmlformats.org/officeDocument/2006/relationships/hyperlink" Target="https://www.sec.gov/Archives/edgar/data/1680873/000119312523098200/d425223dex31.htm" TargetMode="External"/><Relationship Id="rId11" Type="http://schemas.openxmlformats.org/officeDocument/2006/relationships/hyperlink" Target="https://www.sec.gov/Archives/edgar/data/1680873/000119312523098200/d425223dex31.htm" TargetMode="External"/><Relationship Id="rId12" Type="http://schemas.openxmlformats.org/officeDocument/2006/relationships/hyperlink" Target="https://www.sec.gov/Archives/edgar/data/1680873/000161577417003872/s106920_ex4-2.htm" TargetMode="External"/><Relationship Id="rId13" Type="http://schemas.openxmlformats.org/officeDocument/2006/relationships/hyperlink" Target="https://www.sec.gov/Archives/edgar/data/1680873/000161577417003872/s106920_ex4-2.htm" TargetMode="External"/><Relationship Id="rId14" Type="http://schemas.openxmlformats.org/officeDocument/2006/relationships/hyperlink" Target="https://www.sec.gov/Archives/edgar/data/1680873/000161577417003872/s106920_ex4-5.htm" TargetMode="External"/><Relationship Id="rId15" Type="http://schemas.openxmlformats.org/officeDocument/2006/relationships/hyperlink" Target="https://www.sec.gov/Archives/edgar/data/1680873/000161577417003872/s106920_ex4-5.htm" TargetMode="External"/><Relationship Id="rId16" Type="http://schemas.openxmlformats.org/officeDocument/2006/relationships/hyperlink" Target="https://www.sec.gov/Archives/edgar/data/1680873/000168087324000013/exhibit42-8axa.htm" TargetMode="External"/><Relationship Id="rId17" Type="http://schemas.openxmlformats.org/officeDocument/2006/relationships/hyperlink" Target="https://www.sec.gov/Archives/edgar/data/1680873/000168087324000013/exhibit42-8axa.htm" TargetMode="External"/><Relationship Id="rId18" Type="http://schemas.openxmlformats.org/officeDocument/2006/relationships/hyperlink" Target="https://www.sec.gov/Archives/edgar/data/1680873/000168087324000022/a20240419offerlettercfo_ci.htm" TargetMode="External"/><Relationship Id="rId19" Type="http://schemas.openxmlformats.org/officeDocument/2006/relationships/hyperlink" Target="https://www.sec.gov/Archives/edgar/data/1680873/000168087324000022/a20240419offerlettercfo_ci.htm" TargetMode="External"/><Relationship Id="rId20" Type="http://schemas.openxmlformats.org/officeDocument/2006/relationships/hyperlink" Target="https://www.sec.gov/Archives/edgar/data/1680873/000168087324000024/a101-leasedatedjuly22018.htm" TargetMode="External"/><Relationship Id="rId21" Type="http://schemas.openxmlformats.org/officeDocument/2006/relationships/hyperlink" Target="https://www.sec.gov/Archives/edgar/data/1680873/000168087324000024/a101-leasedatedjuly22018.htm" TargetMode="External"/><Relationship Id="rId22" Type="http://schemas.openxmlformats.org/officeDocument/2006/relationships/hyperlink" Target="https://www.sec.gov/Archives/edgar/data/1680873/000168087324000024/a102-amendmenttolease275fi.htm" TargetMode="External"/><Relationship Id="rId23" Type="http://schemas.openxmlformats.org/officeDocument/2006/relationships/hyperlink" Target="https://www.sec.gov/Archives/edgar/data/1680873/000168087324000024/a102-amendmenttolease275fi.htm" TargetMode="External"/><Relationship Id="rId24" Type="http://schemas.openxmlformats.org/officeDocument/2006/relationships/hyperlink" Target="https://www.sec.gov/Archives/edgar/data/1680873/000168087324000024/a103consentandassignmentof.htm" TargetMode="External"/><Relationship Id="rId25" Type="http://schemas.openxmlformats.org/officeDocument/2006/relationships/hyperlink" Target="https://www.sec.gov/Archives/edgar/data/1680873/000168087324000024/a103consentandassignmentof.htm" TargetMode="External"/><Relationship Id="rId26" Type="http://schemas.openxmlformats.org/officeDocument/2006/relationships/hyperlink" Target="https://www.sec.gov/Archives/edgar/data/1680873/000168087324000034/a42-restrictedunits.htm" TargetMode="External"/><Relationship Id="rId27" Type="http://schemas.openxmlformats.org/officeDocument/2006/relationships/hyperlink" Target="https://www.sec.gov/Archives/edgar/data/1680873/000168087324000034/a42-restrictedunits.htm" TargetMode="External"/><Relationship Id="rId28" Type="http://schemas.openxmlformats.org/officeDocument/2006/relationships/hyperlink" Target="https://www.sec.gov/Archives/edgar/data/1680873/000168087324000034/a43-performanceunits.htm" TargetMode="External"/><Relationship Id="rId29" Type="http://schemas.openxmlformats.org/officeDocument/2006/relationships/hyperlink" Target="https://www.sec.gov/Archives/edgar/data/1680873/000168087324000034/a43-performanceunits.htm" TargetMode="External"/><Relationship Id="rId30" Type="http://schemas.openxmlformats.org/officeDocument/2006/relationships/hyperlink" Target="https://www.sec.gov/Archives/edgar/data/1680873/000168087324000034/a44-firstamendmentto2018pl.htm" TargetMode="External"/><Relationship Id="rId31" Type="http://schemas.openxmlformats.org/officeDocument/2006/relationships/hyperlink" Target="https://www.sec.gov/Archives/edgar/data/1680873/000168087324000034/a44-firstamendmentto2018pl.htm" TargetMode="External"/><Relationship Id="rId32" Type="http://schemas.openxmlformats.org/officeDocument/2006/relationships/hyperlink" Target="https://www.sec.gov/Archives/edgar/data/1680873/000168087324000035/exhibit101-separationagree.htm" TargetMode="External"/><Relationship Id="rId33" Type="http://schemas.openxmlformats.org/officeDocument/2006/relationships/hyperlink" Target="https://www.sec.gov/Archives/edgar/data/1680873/000168087324000035/exhibit101-separationagree.htm" TargetMode="External"/><Relationship Id="rId34" Type="http://schemas.openxmlformats.org/officeDocument/2006/relationships/hyperlink" Target="https://www.sec.gov/Archives/edgar/data/1680873/000168087324000044/exhibit101-boardletters.htm" TargetMode="External"/><Relationship Id="rId35" Type="http://schemas.openxmlformats.org/officeDocument/2006/relationships/hyperlink" Target="https://www.sec.gov/Archives/edgar/data/1680873/000168087324000044/exhibit101-boardletters.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17235</Words>
  <Characters>94126</Characters>
  <CharactersWithSpaces>109875</CharactersWithSpaces>
  <Paragraphs>2495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