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088-8k_hffoods.htm"/>
      <w:bookmarkStart w:id="1" w:name="ksea03040888k_hffoods"/>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83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HF FOODS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580" w:type="dxa"/>
        <w:jc w:val="left"/>
        <w:tblInd w:w="0" w:type="dxa"/>
        <w:tblLayout w:type="fixed"/>
        <w:tblCellMar>
          <w:top w:w="0" w:type="dxa"/>
          <w:left w:w="0" w:type="dxa"/>
          <w:bottom w:w="28" w:type="dxa"/>
          <w:right w:w="0" w:type="dxa"/>
        </w:tblCellMar>
      </w:tblPr>
      <w:tblGrid>
        <w:gridCol w:w="2120"/>
        <w:gridCol w:w="60"/>
        <w:gridCol w:w="1850"/>
        <w:gridCol w:w="60"/>
        <w:gridCol w:w="1490"/>
      </w:tblGrid>
      <w:tr>
        <w:trPr/>
        <w:tc>
          <w:tcPr>
            <w:tcW w:w="21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8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831"/>
            <w:bookmarkEnd w:id="6"/>
            <w:r>
              <w:rPr>
                <w:rFonts w:ascii="Times New Roman;Times;Serif" w:hAnsi="Times New Roman;Times;Serif"/>
                <w:b/>
                <w:sz w:val="20"/>
              </w:rPr>
              <w:t>001-38180</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81-2717873</w:t>
            </w:r>
          </w:p>
        </w:tc>
      </w:tr>
      <w:tr>
        <w:trPr/>
        <w:tc>
          <w:tcPr>
            <w:tcW w:w="21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 )  </w:t>
            </w:r>
          </w:p>
        </w:tc>
        <w:tc>
          <w:tcPr>
            <w:tcW w:w="60" w:type="dxa"/>
            <w:tcBorders/>
            <w:tcMar>
              <w:bottom w:w="0" w:type="dxa"/>
            </w:tcMar>
            <w:vAlign w:val="center"/>
          </w:tcPr>
          <w:p>
            <w:pPr>
              <w:pStyle w:val="TableContents"/>
              <w:bidi w:val="0"/>
              <w:spacing w:before="0" w:after="283"/>
              <w:jc w:val="center"/>
              <w:rPr/>
            </w:pPr>
            <w:r>
              <w:rPr/>
              <w:t> </w:t>
            </w:r>
          </w:p>
        </w:tc>
        <w:tc>
          <w:tcPr>
            <w:tcW w:w="18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No.)</w:t>
            </w:r>
          </w:p>
        </w:tc>
        <w:tc>
          <w:tcPr>
            <w:tcW w:w="60" w:type="dxa"/>
            <w:tcBorders/>
            <w:tcMar>
              <w:bottom w:w="0" w:type="dxa"/>
            </w:tcMar>
            <w:vAlign w:val="center"/>
          </w:tcPr>
          <w:p>
            <w:pPr>
              <w:pStyle w:val="TableContents"/>
              <w:bidi w:val="0"/>
              <w:spacing w:before="0" w:after="283"/>
              <w:jc w:val="center"/>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28" w:type="dxa"/>
          <w:right w:w="0" w:type="dxa"/>
        </w:tblCellMar>
      </w:tblPr>
      <w:tblGrid>
        <w:gridCol w:w="3590"/>
        <w:gridCol w:w="60"/>
        <w:gridCol w:w="920"/>
      </w:tblGrid>
      <w:tr>
        <w:trPr/>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C_edei--EntityAddressAddressLine1_"/>
            <w:bookmarkEnd w:id="8"/>
            <w:r>
              <w:rPr>
                <w:rFonts w:ascii="Times New Roman;Times;Serif" w:hAnsi="Times New Roman;Times;Serif"/>
                <w:b/>
                <w:sz w:val="20"/>
              </w:rPr>
              <w:t xml:space="preserve">6325 South Rainbow Boulevard, </w:t>
            </w:r>
            <w:bookmarkStart w:id="9" w:name="xdx_90A_edei--EntityAddressAddressLine2_"/>
            <w:bookmarkEnd w:id="9"/>
            <w:r>
              <w:rPr>
                <w:rFonts w:ascii="Times New Roman;Times;Serif" w:hAnsi="Times New Roman;Times;Serif"/>
                <w:b/>
                <w:sz w:val="20"/>
              </w:rPr>
              <w:t>Suite 420</w:t>
              <w:br/>
            </w:r>
            <w:bookmarkStart w:id="10" w:name="xdx_900_edei--EntityAddressCityOrTown_c2"/>
            <w:bookmarkEnd w:id="10"/>
            <w:r>
              <w:rPr>
                <w:rFonts w:ascii="Times New Roman;Times;Serif" w:hAnsi="Times New Roman;Times;Serif"/>
                <w:b/>
                <w:sz w:val="20"/>
              </w:rPr>
              <w:t xml:space="preserve">Las Vegas, </w:t>
            </w:r>
            <w:bookmarkStart w:id="11" w:name="xdx_903_edei--EntityAddressStateOrProvin"/>
            <w:bookmarkEnd w:id="11"/>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89118</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A_edei--CityAreaCode_c20260831__20"/>
      <w:bookmarkEnd w:id="13"/>
      <w:r>
        <w:rPr>
          <w:rFonts w:ascii="Times New Roman;Times;Serif" w:hAnsi="Times New Roman;Times;Serif"/>
          <w:b/>
          <w:i w:val="false"/>
          <w:caps w:val="false"/>
          <w:smallCaps w:val="false"/>
          <w:sz w:val="20"/>
        </w:rPr>
        <w:t>888)-</w:t>
      </w:r>
      <w:bookmarkStart w:id="14" w:name="xdx_90D_edei--LocalPhoneNumber_c20260831"/>
      <w:bookmarkEnd w:id="14"/>
      <w:r>
        <w:rPr>
          <w:rFonts w:ascii="Times New Roman;Times;Serif" w:hAnsi="Times New Roman;Times;Serif"/>
          <w:b/>
          <w:i w:val="false"/>
          <w:caps w:val="false"/>
          <w:smallCaps w:val="false"/>
          <w:sz w:val="20"/>
        </w:rPr>
        <w:t>905-0998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C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8100" w:type="dxa"/>
        <w:jc w:val="left"/>
        <w:tblInd w:w="0" w:type="dxa"/>
        <w:tblLayout w:type="fixed"/>
        <w:tblCellMar>
          <w:top w:w="0" w:type="dxa"/>
          <w:left w:w="0" w:type="dxa"/>
          <w:bottom w:w="28" w:type="dxa"/>
          <w:right w:w="0" w:type="dxa"/>
        </w:tblCellMar>
      </w:tblPr>
      <w:tblGrid>
        <w:gridCol w:w="2855"/>
        <w:gridCol w:w="60"/>
        <w:gridCol w:w="1415"/>
        <w:gridCol w:w="60"/>
        <w:gridCol w:w="371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9_edei--Security12bTitle_c20260831"/>
            <w:bookmarkEnd w:id="19"/>
            <w:r>
              <w:rPr>
                <w:rFonts w:ascii="Times New Roman;Times;Serif" w:hAnsi="Times New Roman;Times;Serif"/>
                <w:sz w:val="20"/>
              </w:rPr>
              <w:t>Common Stock, $0.0001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4_edei--TradingSymbol_c20260831__2"/>
            <w:bookmarkEnd w:id="20"/>
            <w:r>
              <w:rPr>
                <w:rFonts w:ascii="Times New Roman;Times;Serif" w:hAnsi="Times New Roman;Times;Serif"/>
                <w:sz w:val="20"/>
              </w:rPr>
              <w:t>HFFG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A_edei--SecurityExchangeName_c2026"/>
            <w:bookmarkEnd w:id="21"/>
            <w:r>
              <w:rPr>
                <w:rFonts w:ascii="Times New Roman;Times;Serif" w:hAnsi="Times New Roman;Times;Serif"/>
                <w:sz w:val="20"/>
              </w:rPr>
              <w:t>Nasdaq Capital Market</w:t>
            </w:r>
          </w:p>
        </w:tc>
      </w:tr>
      <w:tr>
        <w:trPr/>
        <w:tc>
          <w:tcPr>
            <w:tcW w:w="28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A_edei--Security12bTitle_c20260831"/>
            <w:bookmarkEnd w:id="22"/>
            <w:r>
              <w:rPr>
                <w:rFonts w:ascii="Times New Roman;Times;Serif" w:hAnsi="Times New Roman;Times;Serif"/>
                <w:sz w:val="20"/>
              </w:rPr>
              <w:t>Preferred Share Purchase Rights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E_edei--TradingSymbol_dxL_c2026083"/>
            <w:bookmarkEnd w:id="23"/>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4_edei--SecurityExchangeName_c2026"/>
            <w:bookmarkEnd w:id="24"/>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HF Foods Group Inc. (the “Company”) completed the previously announced acquisition of Searay Foods Inc., a corporation formed under the laws of British Columbia (“Searay Canada”) and Morgan Foods Inc., a corporation formed under the laws of British Columbia (“Morgan Foods” and, together with Searay Canada, the “Company Group”), pursuant to the Securities Purchase Agreement, dated as of July 17, 2026 (the “Agreement”), as amended by the Amendment to Securities Purchase Agreement, dated as of August 27, 2026 (the “Amendment”), by and among the Company, HF Acquisition Newco Inc., a Delaware corporation and wholly-owned subsidiary of the Company (the “Buyer”), HF Toro Canada Holdings Inc., a British Columbia limited company (“Searay AcquisitionCo” and, together with the Company and the Buyer, the “Buyer Entities”), the Company Group; the sellers named therein (the “Sellers”), and Jackie Chi Fai Chan, solely in his capacity as the representative of the Sellers, pursuant to which the Buyer Entities acquired 100% of the issued and outstanding securities of the Company Group from the Sellers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Agreement, the Company acquired 100% of the issued and outstanding equity interests of the Company Group from the Sellers, for an aggregate base purchase price of CAD$47,921,740 (equal to five times the baseline Adjusted EBITDA of CAD$9,556,348, plus CAD$140,000), paid as (i) CAD$38,365,392 in cash and (ii) 1,701,871 shares of the Company’s common stock were issued at closing, priced at USD$4.00 per share (the “Shares”). In addition, the Sellers are eligible to receive contingent earnout payments based on achievement of specified EBITDA targets over a two- to three-year period following the closing of the Acquisition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parties entered into the Amendment, which, among other things, (i) subordinates the earnout payments to the credit facilities of the Buyer Entities, (ii) provides for simple interest at SOFR plus 2% per annum on any deferred earnout payments, (iii) waives, solely as a closing condition, the requirement to obtain certain third-party consents at or prior to the Closing, (iv) provides for uncapped indemnification by the Sellers for losses arising from the failure to obtain such consents and (v) permits the Buyer Entities to assign their rights under the Agreement to affiliates and as collateral security to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Closing, the Company and the other borrowers under the Third Amended and Restated Credit Agreement, dated as of March 31, 2022 (as amended, the “Credit Agreement”), with JPMorgan Chase Bank, N.A., as administrative agent (the “Administrative Agent”), entered into a Consent (the “Consent”), pursuant to which the Administrative Agent and the required lenders consented to the joinder of Searay Canada, Morgan Foods and any subsidiary formed or acquired in connection with the Acquisition as parties to the Credit Agreement and related loan documents within five business days following the closing of the Acquisition (or such later date as agreed by the Administrative Agent), rather than immediately upon consummation of the Acquisition. In connection with the Consent, the Searay Acquisition Reserve was released in accordance with the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Acquisition, the Agreement, the Amendment and the Consent do not purport to be complete and are qualified in their entirety by the full text of the Agreement and the Amendment, copies of which are attached hereto as Exhibit 10.1, Exhibit 10.2 and Exhibit 10.3,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2.03 is set forth in Item 1.01 above,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the Company issued a press release announcing the Closing. A copy of the press release is filed as Exhibit 99.1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financial statements required by Item 9.01(a) of Form 8-K will be filed by amendment to this Current Report on Form 8-K no later than 71 days following the date on which this Current Report on Form 8-K was required to be filed pursuant to Item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pro forma financial information required by Item 9.01(b) of Form 8-K will be filed by amendment to this Current Report on Form 8-K no later than 71 days following the date on which this Current Report on Form 8-K was required to be filed pursuant to Item 2.01.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 The following exhibits are being filed or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6"/>
        <w:gridCol w:w="60"/>
        <w:gridCol w:w="9399"/>
      </w:tblGrid>
      <w:tr>
        <w:trPr/>
        <w:tc>
          <w:tcPr>
            <w:tcW w:w="746"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9"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9"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Securities Purchase Agreement, dated as of July 17, 2026, by and among HF Foods Group Inc., HF Acquisition Newco Inc., HF Toro Canada Holdings Inc., Searay Foods Inc., Morgan Foods Inc., the Sellers named therein, and Jackie Chi Fai Chan, as Sellers Representative (incorporated by reference to Exhibit 10.1 to the Current Report on Form 8-K filed with the Securities and Exchange Commission on July 23, 2026). *†</w:t>
              </w:r>
            </w:hyperlink>
          </w:p>
        </w:tc>
      </w:tr>
      <w:tr>
        <w:trPr/>
        <w:tc>
          <w:tcPr>
            <w:tcW w:w="74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9" w:type="dxa"/>
            <w:tcBorders/>
            <w:shd w:fill="FFFFFF" w:val="clear"/>
            <w:tcMar>
              <w:bottom w:w="0" w:type="dxa"/>
            </w:tcMar>
            <w:vAlign w:val="center"/>
          </w:tcPr>
          <w:p>
            <w:pPr>
              <w:pStyle w:val="TableContents"/>
              <w:bidi w:val="0"/>
              <w:spacing w:before="0" w:after="283"/>
              <w:jc w:val="left"/>
              <w:rPr/>
            </w:pPr>
            <w:hyperlink w:anchor="ea030408801ex10-2.htm">
              <w:r>
                <w:rPr>
                  <w:rStyle w:val="InternetLink"/>
                  <w:rFonts w:ascii="Times New Roman;Times;Serif" w:hAnsi="Times New Roman;Times;Serif"/>
                  <w:sz w:val="20"/>
                </w:rPr>
                <w:t>Amendment to Securities Purchase Agreement, dated as of August 27, 2026, by and among HF Foods Group Inc., HF Acquisition Newco Inc., HF Toro Canada Holdings Inc., Searay Foods Inc., Morgan Foods Inc., the Sellers named therein, and Jackie Chi Fai Chan, as Sellers Representative. †</w:t>
              </w:r>
            </w:hyperlink>
          </w:p>
        </w:tc>
      </w:tr>
      <w:tr>
        <w:trPr/>
        <w:tc>
          <w:tcPr>
            <w:tcW w:w="7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9" w:type="dxa"/>
            <w:tcBorders/>
            <w:shd w:fill="CCEEFF" w:val="clear"/>
            <w:tcMar>
              <w:bottom w:w="0" w:type="dxa"/>
            </w:tcMar>
            <w:vAlign w:val="center"/>
          </w:tcPr>
          <w:p>
            <w:pPr>
              <w:pStyle w:val="TableContents"/>
              <w:bidi w:val="0"/>
              <w:spacing w:before="0" w:after="283"/>
              <w:jc w:val="left"/>
              <w:rPr/>
            </w:pPr>
            <w:hyperlink w:anchor="ea030408801ex10-3.htm">
              <w:r>
                <w:rPr>
                  <w:rStyle w:val="InternetLink"/>
                  <w:rFonts w:ascii="Times New Roman;Times;Serif" w:hAnsi="Times New Roman;Times;Serif"/>
                  <w:sz w:val="20"/>
                </w:rPr>
                <w:t>Consent Under Third Amended And Restated Credit Agreement, dated as of August 31, 2026, by and among HF Foods Group Inc. B&amp;R Global Holdings, Inc., subsidiaries of the Company, JPMorgan Chase Bank, N.A., as Administrative Agent, and certain lender parties thereto.</w:t>
              </w:r>
            </w:hyperlink>
          </w:p>
        </w:tc>
      </w:tr>
      <w:tr>
        <w:trPr/>
        <w:tc>
          <w:tcPr>
            <w:tcW w:w="74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9" w:type="dxa"/>
            <w:tcBorders/>
            <w:shd w:fill="FFFFFF" w:val="clear"/>
            <w:tcMar>
              <w:bottom w:w="0" w:type="dxa"/>
            </w:tcMar>
            <w:vAlign w:val="center"/>
          </w:tcPr>
          <w:p>
            <w:pPr>
              <w:pStyle w:val="TableContents"/>
              <w:bidi w:val="0"/>
              <w:spacing w:before="0" w:after="283"/>
              <w:jc w:val="left"/>
              <w:rPr/>
            </w:pPr>
            <w:hyperlink w:anchor="ea030408801ex99-1.htm">
              <w:r>
                <w:rPr>
                  <w:rStyle w:val="InternetLink"/>
                  <w:rFonts w:ascii="Times New Roman;Times;Serif" w:hAnsi="Times New Roman;Times;Serif"/>
                  <w:sz w:val="20"/>
                </w:rPr>
                <w:t>Press Release, dated September 3, 2026.</w:t>
              </w:r>
            </w:hyperlink>
          </w:p>
        </w:tc>
      </w:tr>
      <w:tr>
        <w:trPr/>
        <w:tc>
          <w:tcPr>
            <w:tcW w:w="7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Pr>
            <w:r>
              <w:rPr/>
              <w:t>*</w:t>
            </w:r>
          </w:p>
        </w:tc>
        <w:tc>
          <w:tcPr>
            <w:tcW w:w="10065" w:type="dxa"/>
            <w:tcBorders/>
            <w:vAlign w:val="center"/>
          </w:tcPr>
          <w:p>
            <w:pPr>
              <w:pStyle w:val="TableContents"/>
              <w:bidi w:val="0"/>
              <w:spacing w:before="0" w:after="283"/>
              <w:jc w:val="left"/>
              <w:rPr/>
            </w:pPr>
            <w:r>
              <w:rPr/>
              <w:t>Schedules and similar attachments have been omitted pursuant to Item 601(b)(5)of Regulation S-K. The Company hereby undertakes to furnish copies of any of the omitted schedules upon request by the SEC; provided, however, that the Company may request confidential treatment pursuant to Rule 24b-2 of the Exchange Act for any schedules so furnished.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Pr>
            <w:r>
              <w:rPr/>
              <w:t>†</w:t>
            </w:r>
          </w:p>
        </w:tc>
        <w:tc>
          <w:tcPr>
            <w:tcW w:w="10065" w:type="dxa"/>
            <w:tcBorders/>
            <w:vAlign w:val="center"/>
          </w:tcPr>
          <w:p>
            <w:pPr>
              <w:pStyle w:val="TableContents"/>
              <w:bidi w:val="0"/>
              <w:spacing w:before="0" w:after="283"/>
              <w:jc w:val="left"/>
              <w:rPr/>
            </w:pPr>
            <w:r>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030"/>
        <w:gridCol w:w="2180"/>
      </w:tblGrid>
      <w:tr>
        <w:trPr/>
        <w:tc>
          <w:tcPr>
            <w:tcW w:w="203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HF FOODS GROUP INC.</w:t>
            </w:r>
          </w:p>
        </w:tc>
      </w:tr>
      <w:tr>
        <w:trPr/>
        <w:tc>
          <w:tcPr>
            <w:tcW w:w="203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 2026</w:t>
            </w:r>
          </w:p>
        </w:tc>
        <w:tc>
          <w:tcPr>
            <w:tcW w:w="21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Paul McGarry</w:t>
            </w:r>
          </w:p>
        </w:tc>
      </w:tr>
      <w:tr>
        <w:trPr/>
        <w:tc>
          <w:tcPr>
            <w:tcW w:w="203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McGarry</w:t>
            </w:r>
          </w:p>
        </w:tc>
      </w:tr>
      <w:tr>
        <w:trPr/>
        <w:tc>
          <w:tcPr>
            <w:tcW w:w="203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408801ex10-2.htm"/>
      <w:bookmarkStart w:id="27" w:name="ksea030408801ex102"/>
      <w:bookmarkEnd w:id="26"/>
      <w:bookmarkEnd w:id="27"/>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SECURITIES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Securities Purchase Agreement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xml:space="preserve">”), is made and entered into as of August 27, 2026, by and among </w:t>
      </w:r>
      <w:r>
        <w:rPr>
          <w:rFonts w:ascii="Times New Roman;Times;Serif" w:hAnsi="Times New Roman;Times;Serif"/>
          <w:b/>
          <w:i w:val="false"/>
          <w:smallCaps/>
          <w:sz w:val="20"/>
        </w:rPr>
        <w:t>HF Foods Group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caps w:val="false"/>
          <w:smallCaps w:val="false"/>
          <w:sz w:val="20"/>
        </w:rPr>
        <w:t>Buyer Parent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HF Acquisition NewCo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caps w:val="false"/>
          <w:smallCaps w:val="false"/>
          <w:sz w:val="20"/>
        </w:rPr>
        <w:t>Buyer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HF Toro Canada Holdings Inc.</w:t>
      </w:r>
      <w:r>
        <w:rPr>
          <w:rFonts w:ascii="Times New Roman;Times;Serif" w:hAnsi="Times New Roman;Times;Serif"/>
          <w:b w:val="false"/>
          <w:i w:val="false"/>
          <w:caps w:val="false"/>
          <w:smallCaps w:val="false"/>
          <w:sz w:val="20"/>
        </w:rPr>
        <w:t>, a British Columbia limited company (“</w:t>
      </w:r>
      <w:r>
        <w:rPr>
          <w:rFonts w:ascii="Times New Roman;Times;Serif" w:hAnsi="Times New Roman;Times;Serif"/>
          <w:b/>
          <w:i/>
          <w:caps w:val="false"/>
          <w:smallCaps w:val="false"/>
          <w:sz w:val="20"/>
        </w:rPr>
        <w:t>Searay AcquisitionCo</w:t>
      </w:r>
      <w:r>
        <w:rPr>
          <w:rFonts w:ascii="Times New Roman;Times;Serif" w:hAnsi="Times New Roman;Times;Serif"/>
          <w:b w:val="false"/>
          <w:i w:val="false"/>
          <w:caps w:val="false"/>
          <w:smallCaps w:val="false"/>
          <w:sz w:val="20"/>
        </w:rPr>
        <w:t>”, and collectively with Buyer Parent, and Buyer, the “</w:t>
      </w:r>
      <w:r>
        <w:rPr>
          <w:rFonts w:ascii="Times New Roman;Times;Serif" w:hAnsi="Times New Roman;Times;Serif"/>
          <w:b/>
          <w:i/>
          <w:caps w:val="false"/>
          <w:smallCaps w:val="false"/>
          <w:sz w:val="20"/>
        </w:rPr>
        <w:t>Buyer Entities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Buyer Entity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Searay Foods Inc.</w:t>
      </w:r>
      <w:r>
        <w:rPr>
          <w:rFonts w:ascii="Times New Roman;Times;Serif" w:hAnsi="Times New Roman;Times;Serif"/>
          <w:b w:val="false"/>
          <w:i w:val="false"/>
          <w:caps w:val="false"/>
          <w:smallCaps w:val="false"/>
          <w:sz w:val="20"/>
        </w:rPr>
        <w:t>, a corporation formed under the laws of British Columbia (“</w:t>
      </w:r>
      <w:r>
        <w:rPr>
          <w:rFonts w:ascii="Times New Roman;Times;Serif" w:hAnsi="Times New Roman;Times;Serif"/>
          <w:b/>
          <w:i/>
          <w:caps w:val="false"/>
          <w:smallCaps w:val="false"/>
          <w:sz w:val="20"/>
        </w:rPr>
        <w:t>Searay Canada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Morgan Foods Inc.</w:t>
      </w:r>
      <w:r>
        <w:rPr>
          <w:rFonts w:ascii="Times New Roman;Times;Serif" w:hAnsi="Times New Roman;Times;Serif"/>
          <w:b w:val="false"/>
          <w:i w:val="false"/>
          <w:caps w:val="false"/>
          <w:smallCaps w:val="false"/>
          <w:sz w:val="20"/>
        </w:rPr>
        <w:t>, a corporation formed under the laws of British Columbia (“</w:t>
      </w:r>
      <w:r>
        <w:rPr>
          <w:rFonts w:ascii="Times New Roman;Times;Serif" w:hAnsi="Times New Roman;Times;Serif"/>
          <w:b/>
          <w:i/>
          <w:caps w:val="false"/>
          <w:smallCaps w:val="false"/>
          <w:sz w:val="20"/>
        </w:rPr>
        <w:t>Morgan Foods</w:t>
      </w:r>
      <w:r>
        <w:rPr>
          <w:rFonts w:ascii="Times New Roman;Times;Serif" w:hAnsi="Times New Roman;Times;Serif"/>
          <w:b w:val="false"/>
          <w:i w:val="false"/>
          <w:caps w:val="false"/>
          <w:smallCaps w:val="false"/>
          <w:sz w:val="20"/>
        </w:rPr>
        <w:t xml:space="preserve">”); each of the persons set forth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to the Purchase Agreement (as defined below) (each, a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and, together, the “</w:t>
      </w:r>
      <w:r>
        <w:rPr>
          <w:rFonts w:ascii="Times New Roman;Times;Serif" w:hAnsi="Times New Roman;Times;Serif"/>
          <w:b/>
          <w:i/>
          <w:caps w:val="false"/>
          <w:smallCaps w:val="false"/>
          <w:sz w:val="20"/>
        </w:rPr>
        <w:t>Sellers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smallCaps/>
          <w:sz w:val="20"/>
        </w:rPr>
        <w:t>Jackie Chi Fai Chan</w:t>
      </w:r>
      <w:r>
        <w:rPr>
          <w:rFonts w:ascii="Times New Roman;Times;Serif" w:hAnsi="Times New Roman;Times;Serif"/>
          <w:b w:val="false"/>
          <w:i w:val="false"/>
          <w:caps w:val="false"/>
          <w:smallCaps w:val="false"/>
          <w:sz w:val="20"/>
        </w:rPr>
        <w:t xml:space="preserve"> solely in his capacity as the representative of the Sellers (the “</w:t>
      </w:r>
      <w:r>
        <w:rPr>
          <w:rFonts w:ascii="Times New Roman;Times;Serif" w:hAnsi="Times New Roman;Times;Serif"/>
          <w:b/>
          <w:i/>
          <w:caps w:val="false"/>
          <w:smallCaps w:val="false"/>
          <w:sz w:val="20"/>
        </w:rPr>
        <w:t>Sellers Representative</w:t>
      </w:r>
      <w:r>
        <w:rPr>
          <w:rFonts w:ascii="Times New Roman;Times;Serif" w:hAnsi="Times New Roman;Times;Serif"/>
          <w:b w:val="false"/>
          <w:i w:val="false"/>
          <w:caps w:val="false"/>
          <w:smallCaps w:val="false"/>
          <w:sz w:val="20"/>
        </w:rPr>
        <w:t>” and collectively, with the Buyer Entities, Searay Canada, Morgan Foods, and the Sellers,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amends that certain Securities Purchase Agreement by and among the Parties, dated July 17, 2026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Capitalized terms used but not otherwise defined in this Amendment shall have the respective meanings ascribed to them in the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previously entered into the Purchase Agreement relating to the acquisition by the Buyer Entities of one hundred percent (100%) of the issued and outstanding securities of the Company Group.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now desire to amend the Purchase Agreement to make certain changes as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Section 11.8 of the Purchase Agreement, the Purchase Agreement may be amended with the consent of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recitals and the mutual promises set forth in this Amendment and for other consideration, the receipt and adequacy of which is hereby acknowledged, the undersigned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 to Purchase Agreement</w:t>
      </w:r>
      <w:r>
        <w:rPr>
          <w:rFonts w:ascii="Times New Roman;Times;Serif" w:hAnsi="Times New Roman;Times;Serif"/>
          <w:b w:val="false"/>
          <w:i w:val="false"/>
          <w:caps w:val="false"/>
          <w:smallCaps w:val="false"/>
          <w:sz w:val="20"/>
        </w:rPr>
        <w:t>.</w:t>
      </w:r>
    </w:p>
    <w:p>
      <w:pPr>
        <w:pStyle w:val="TextBody"/>
        <w:bidi w:val="0"/>
        <w:spacing w:before="0" w:after="0"/>
        <w:ind w:left="9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 new Sections 2.12 and 2.13 are hereby added to the Purchase Agreement to read in its entirety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2.12 Earnout Subordination.</w:t>
      </w:r>
      <w:r>
        <w:rPr>
          <w:rFonts w:ascii="Times New Roman;Times;Serif" w:hAnsi="Times New Roman;Times;Serif"/>
          <w:b w:val="false"/>
          <w:i w:val="false"/>
          <w:caps w:val="false"/>
          <w:smallCaps w:val="false"/>
          <w:sz w:val="20"/>
        </w:rPr>
        <w:t xml:space="preserve"> Notwithstanding anything to the contrary herein, any and all Performance Earnout, [***] Earnout and Growth Earnout Consideration required to be made by any Buyer Entity under this Agreement (collectively, together with any Earnout Interest in respect thereof, the “</w:t>
      </w:r>
      <w:r>
        <w:rPr>
          <w:rFonts w:ascii="Times New Roman;Times;Serif" w:hAnsi="Times New Roman;Times;Serif"/>
          <w:b/>
          <w:i w:val="false"/>
          <w:caps w:val="false"/>
          <w:smallCaps w:val="false"/>
          <w:sz w:val="20"/>
          <w:u w:val="single"/>
        </w:rPr>
        <w:t>Earnout Amounts</w:t>
      </w:r>
      <w:r>
        <w:rPr>
          <w:rFonts w:ascii="Times New Roman;Times;Serif" w:hAnsi="Times New Roman;Times;Serif"/>
          <w:b w:val="false"/>
          <w:i w:val="false"/>
          <w:caps w:val="false"/>
          <w:smallCaps w:val="false"/>
          <w:sz w:val="20"/>
        </w:rPr>
        <w:t>”) shall be unsecured.  No payment of Earnout Amounts shall be made or accepted hereunder to the extent prohibited by the current credit facilities of the Buyer Entities’ and their Affiliates or such other replacement credit facility with a tier one bank in the United States (the “</w:t>
      </w:r>
      <w:r>
        <w:rPr>
          <w:rFonts w:ascii="Times New Roman;Times;Serif" w:hAnsi="Times New Roman;Times;Serif"/>
          <w:b/>
          <w:i w:val="false"/>
          <w:caps w:val="false"/>
          <w:smallCaps w:val="false"/>
          <w:sz w:val="20"/>
        </w:rPr>
        <w:t>Senior Lender Credit Facility</w:t>
      </w:r>
      <w:r>
        <w:rPr>
          <w:rFonts w:ascii="Times New Roman;Times;Serif" w:hAnsi="Times New Roman;Times;Serif"/>
          <w:b w:val="false"/>
          <w:i w:val="false"/>
          <w:caps w:val="false"/>
          <w:smallCaps w:val="false"/>
          <w:sz w:val="20"/>
        </w:rPr>
        <w:t>”).  To the extent a partial payment of the Earnout Amounts is permitted under the Senior Lender Credit Facility, then the Buyer Entities shall make such payment, and these provisions shall apply to the balance of the remaining unpaid Earnout Amounts. Notwithstanding the foregoing, the Buyer Entities shall make best efforts to cure any issues under the Senior Lender Credit Facility that would prohibit payment of the Earnout Amounts, and pay any such portion of the Earnout Amounts once permitted under the Senior Lender Credit Facility promptly (and in any event no later than thirty (30) calendar days after such Earnouts Amounts are permitted to be paid under the Senior Lender Credit Facility).  Each Seller hereby acknowledges and agrees that any failure by the Buyer Entities to pay all or a portion of the Earnout Amounts pursuant to the foregoing, if any, on the date otherwise due (the “</w:t>
      </w:r>
      <w:r>
        <w:rPr>
          <w:rFonts w:ascii="Times New Roman;Times;Serif" w:hAnsi="Times New Roman;Times;Serif"/>
          <w:b/>
          <w:i w:val="false"/>
          <w:caps w:val="false"/>
          <w:smallCaps w:val="false"/>
          <w:sz w:val="20"/>
        </w:rPr>
        <w:t>Earnout Payment Due Date</w:t>
      </w:r>
      <w:r>
        <w:rPr>
          <w:rFonts w:ascii="Times New Roman;Times;Serif" w:hAnsi="Times New Roman;Times;Serif"/>
          <w:b w:val="false"/>
          <w:i w:val="false"/>
          <w:caps w:val="false"/>
          <w:smallCaps w:val="false"/>
          <w:sz w:val="20"/>
        </w:rPr>
        <w:t>”) pursuant to the terms of this Agreement cannot be deemed to be in breach of this Agreement regarding the payment of the Earnout Amounts (but it is agreed and understood that nothing contained in this Section 2.12 shall relieve the Buyer Entities of their obligation to pay the Earnout Amounts, if earned in accordance with the terms hereof, once permitted to be paid under the Senior Lender Credit Facility). The lenders under the Senior Lender Credit Facility (together with any agent acting on behalf of such lenders) are an intended third-party beneficiary of, and shall be entitled to enforce, this Section 2.12.  Any payments of the Earnout Amounts received by any Seller in violation of the terms of this Section 2.12 shall be immediately returned to Buyer Entities in full.  Each Seller acknowledges and agrees that such Seller shall not sue for or otherwise take any collection action against any Buyer Entity (or any of its Affiliates) for any such payment or exercise any other remedies at law, in equity, by contract or otherwise as a result of the failure to make any payment of Earnout Amounts pursuant to the foregoing. Notwithstanding the foregoing, nothing in this Agreement shall preclude Sellers from making a demand for payment of the Earnout Amounts, issuing a notice of default or filing a proof of claim in connection with any bankruptcy or similar proceedings commenced by the lenders (together with any agent acting on behalf of such lenders) under the Senior Lender Credit Facility, in respect of the Buyer Entities.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Deferred Payment of Earnout Amounts.</w:t>
      </w:r>
      <w:r>
        <w:rPr>
          <w:rFonts w:ascii="Times New Roman;Times;Serif" w:hAnsi="Times New Roman;Times;Serif"/>
          <w:b w:val="false"/>
          <w:i w:val="false"/>
          <w:caps w:val="false"/>
          <w:smallCaps w:val="false"/>
          <w:sz w:val="20"/>
        </w:rPr>
        <w:t xml:space="preserve"> If the Buyer Entities are not able to make payment of the applicable Earnout Amounts due on an Earnout Payment Due Date, then such outstanding balance of such unpaid Earnout Amount shall accrue simple interest at the SOFR (as defined below) plus 2% per annum (“</w:t>
      </w:r>
      <w:r>
        <w:rPr>
          <w:rFonts w:ascii="Times New Roman;Times;Serif" w:hAnsi="Times New Roman;Times;Serif"/>
          <w:b/>
          <w:i w:val="false"/>
          <w:caps w:val="false"/>
          <w:smallCaps w:val="false"/>
          <w:sz w:val="20"/>
        </w:rPr>
        <w:t>Earnout Interest</w:t>
      </w:r>
      <w:r>
        <w:rPr>
          <w:rFonts w:ascii="Times New Roman;Times;Serif" w:hAnsi="Times New Roman;Times;Serif"/>
          <w:b w:val="false"/>
          <w:i w:val="false"/>
          <w:caps w:val="false"/>
          <w:smallCaps w:val="false"/>
          <w:sz w:val="20"/>
        </w:rPr>
        <w:t>”) commencing on the Earnout Payment Due Date until such time that such entire Earnout Amount and Earnout Interest are paid in full. Earnout Interest shall be calculated based on the actual number of days elapsed during such period and a 365-day year, without compounding. All payments shall be applied first to payment of Earnout Interest and second to such unpaid Earnout Amount. During any period that any portion of the Earnout Amount has been deferred, the Buyer Entities shall upon the reasonable request of the Sellers Representative provide such financial and other information of the Buyer Entities and their Affiliates as is reasonably requested by the Sellers Representative in order to permit the Sellers to confirm the applicability of such restrictions under the Senior Lender Credit Facility. As used herein, the term SOFR means a rate per annum equal to the secured overnight financing rate as administered by the Federal Reserve Bank of New York”</w:t>
      </w:r>
    </w:p>
    <w:p>
      <w:pPr>
        <w:pStyle w:val="TextBody"/>
        <w:bidi w:val="0"/>
        <w:spacing w:before="0" w:after="0"/>
        <w:ind w:left="9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Section 11.5 of the Purchase Agreement is hereby amended and restated to read in its entirety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11.5 Entire Agreement; Assignment.</w:t>
      </w:r>
      <w:r>
        <w:rPr>
          <w:rFonts w:ascii="Times New Roman;Times;Serif" w:hAnsi="Times New Roman;Times;Serif"/>
          <w:b w:val="false"/>
          <w:i w:val="false"/>
          <w:caps w:val="false"/>
          <w:smallCaps w:val="false"/>
          <w:sz w:val="20"/>
        </w:rPr>
        <w:t xml:space="preserve"> This Agreement, the Exhibits hereto, the Disclosure Schedule, and the documents and instruments and other agreements among the Parties referenced herein: (a) constitute the entire agreement among the parties with respect to the subject matter hereof and supersede all prior agreements and understandings both written and oral, among the parties with respect to the subject matter hereof, (b) are not intended to confer upon any other Person any rights or remedies hereunder, and (c) shall not be assigned by operation of law or otherwise; provided, that the Buyer Entities may assign their rights and delegate their obligations hereunder to (i) any of its Affiliates and/or (ii) as collateral security to any of Buyer Entities’ (or their Affiliates) lenders, in each case as long as the Buyer Entities remain ultimately liable for all of the Buyer Entities’ obligations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 new Section 7.19 is hereby added to the Purchase Agreement to read in its entirety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7.19 Excluded Consents. </w:t>
      </w:r>
      <w:r>
        <w:rPr>
          <w:rFonts w:ascii="Times New Roman;Times;Serif" w:hAnsi="Times New Roman;Times;Serif"/>
          <w:b w:val="false"/>
          <w:i w:val="false"/>
          <w:caps w:val="false"/>
          <w:smallCaps w:val="false"/>
          <w:sz w:val="20"/>
        </w:rPr>
        <w:t>Notwithstanding anything to the contrary contained in this Agreement, Buyer hereby waives, solely as a condition to the consummation of the Closing, the requirement under Section 1.4(a)(ii) and Section 9.2(d) that the Sellers deliver or cause to be delivered at or prior to the Closing the following consents listed in Schedule 1.4(a)(ii) of the Purchase Agreement (the “Excluded Consents”):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General Merchandise Agreement between [***] Canada Corp. (“</w:t>
      </w:r>
      <w:r>
        <w:rPr>
          <w:rFonts w:ascii="Times New Roman;Times;Serif" w:hAnsi="Times New Roman;Times;Serif"/>
          <w:b/>
          <w:i w:val="false"/>
          <w:caps w:val="false"/>
          <w:smallCaps w:val="false"/>
          <w:sz w:val="20"/>
        </w:rPr>
        <w:t>[***] Canada</w:t>
      </w:r>
      <w:r>
        <w:rPr>
          <w:rFonts w:ascii="Times New Roman;Times;Serif" w:hAnsi="Times New Roman;Times;Serif"/>
          <w:b w:val="false"/>
          <w:i w:val="false"/>
          <w:caps w:val="false"/>
          <w:smallCaps w:val="false"/>
          <w:sz w:val="20"/>
        </w:rPr>
        <w:t>”) and Searay Canada executed August 14, 2018 (the “</w:t>
      </w:r>
      <w:r>
        <w:rPr>
          <w:rFonts w:ascii="Times New Roman;Times;Serif" w:hAnsi="Times New Roman;Times;Serif"/>
          <w:b/>
          <w:i w:val="false"/>
          <w:caps w:val="false"/>
          <w:smallCaps w:val="false"/>
          <w:sz w:val="20"/>
        </w:rPr>
        <w:t>[***] Agreement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Lease between JP Searay Holdings Ltd., as landlord, and Searay Canada, as tenant, made on May 1, 2023, for the premises with a civic address of 6511 Graybar Road, Richmond, BC V6W 1H3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waiver shall not constitute a waiver of the requirement to obtain the Excluded Consents or of any rights or remedies of any Buyer Indemnified Party arising out of or relating to the failure to obtain either of the Excluded Consents. Following the Closing, the Sellers shall use their best efforts to obtain the Excluded Consents as promptly as practicable.”</w:t>
      </w:r>
    </w:p>
    <w:p>
      <w:pPr>
        <w:pStyle w:val="TextBody"/>
        <w:bidi w:val="0"/>
        <w:spacing w:before="0" w:after="0"/>
        <w:ind w:left="9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 new Section 8.2(b)(iii) is hereby added to the Purchase Agreement to read in its entirety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(iii) any Third Party Claim (as defined below) made by [***] Canada against the Company Group for the failure to obtain an Excluded Consent from [***] Canada prior to the Closing (the “</w:t>
      </w:r>
      <w:r>
        <w:rPr>
          <w:rFonts w:ascii="Times New Roman;Times;Serif" w:hAnsi="Times New Roman;Times;Serif"/>
          <w:b/>
          <w:i w:val="false"/>
          <w:caps w:val="false"/>
          <w:smallCaps w:val="false"/>
          <w:sz w:val="20"/>
        </w:rPr>
        <w:t>Excluded Consent Indemnity</w:t>
      </w:r>
      <w:r>
        <w:rPr>
          <w:rFonts w:ascii="Times New Roman;Times;Serif" w:hAnsi="Times New Roman;Times;Serif"/>
          <w:b w:val="false"/>
          <w:i w:val="false"/>
          <w:caps w:val="false"/>
          <w:smallCaps w:val="false"/>
          <w:sz w:val="20"/>
        </w:rPr>
        <w:t>”); such Excluded Consent Indemnity shall expire on the earliest of (A) the day that [***] Canada waives the consent requirement (or otherwise confirms that no consent is required to consummate the Transactions) under the [***] Agreement; or (B) 30 days after [***] Canada submits a purchase order to the Company Group under the [***] Agreement, notwithstanding anything to the contrary contained in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Except as set forth herein, all other provisions of the Purchase Agreement shall continue in full force and effect and this Amendment shall be considered part of, and shall be subject to all other provisions of, the Purchase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shall be governed by and construed and enforced in accordance with the Laws of the Province of British Columbia and the federal Laws of Canada applicable therein without regard to its rules on conflict of laws or any other rules that would result in the application of a different body of law.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together with the Purchase Agreement, constitutes the entire agreement among the parties with respect to the subject matter hereof and thereof and supersedes all prior agreements and understandings both written and oral, among the parties with respect to the subject matter hereof and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Counterparts; Electronic Execution and Delivery</w:t>
      </w:r>
      <w:r>
        <w:rPr>
          <w:rFonts w:ascii="Times New Roman;Times;Serif" w:hAnsi="Times New Roman;Times;Serif"/>
          <w:b w:val="false"/>
          <w:i w:val="false"/>
          <w:caps w:val="false"/>
          <w:smallCaps w:val="false"/>
          <w:sz w:val="20"/>
        </w:rPr>
        <w:t xml:space="preserve">. This Amendment may be executed in any number of counterparts, each of which shall be enforceable against the parties actually executing such counterparts, and all of which together shall constitute one instrument. The exchange of copies of this Amendment and signature pages by email in .pdf or .tif format (and including, without limitation, any electronic signature complying with the U.S.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or by any other electronic means intended to preserve the original graphic and pictorial appearance of a document, or by combination of such means, shall constitute effective execution and delivery of this Amendment as to the Parties and may be used in lieu of the original Amendment for all purposes. Such execution and delivery shall be considered valid, binding and effective for all purposes.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this page intentionally left blank -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094" w:type="dxa"/>
        <w:jc w:val="left"/>
        <w:tblInd w:w="0" w:type="dxa"/>
        <w:tblLayout w:type="fixed"/>
        <w:tblCellMar>
          <w:top w:w="0" w:type="dxa"/>
          <w:left w:w="0" w:type="dxa"/>
          <w:bottom w:w="0" w:type="dxa"/>
          <w:right w:w="0" w:type="dxa"/>
        </w:tblCellMar>
      </w:tblPr>
      <w:tblGrid>
        <w:gridCol w:w="75"/>
        <w:gridCol w:w="616"/>
        <w:gridCol w:w="2403"/>
      </w:tblGrid>
      <w:tr>
        <w:trPr/>
        <w:tc>
          <w:tcPr>
            <w:tcW w:w="75" w:type="dxa"/>
            <w:tcBorders/>
            <w:vAlign w:val="center"/>
          </w:tcPr>
          <w:p>
            <w:pPr>
              <w:pStyle w:val="TableContents"/>
              <w:bidi w:val="0"/>
              <w:spacing w:before="0" w:after="283"/>
              <w:ind w:left="0" w:right="0" w:hanging="0"/>
              <w:jc w:val="left"/>
              <w:rPr/>
            </w:pPr>
            <w:r>
              <w:rPr/>
              <w:t> </w:t>
            </w:r>
          </w:p>
        </w:tc>
        <w:tc>
          <w:tcPr>
            <w:tcW w:w="3019" w:type="dxa"/>
            <w:gridSpan w:val="2"/>
            <w:tcBorders/>
            <w:vAlign w:val="center"/>
          </w:tcPr>
          <w:p>
            <w:pPr>
              <w:pStyle w:val="TableContents"/>
              <w:bidi w:val="0"/>
              <w:spacing w:before="0" w:after="283"/>
              <w:ind w:left="0" w:right="0" w:hanging="0"/>
              <w:jc w:val="left"/>
              <w:rPr>
                <w:b/>
                <w:smallCaps/>
                <w:sz w:val="20"/>
              </w:rPr>
            </w:pPr>
            <w:r>
              <w:rPr>
                <w:b/>
                <w:smallCaps/>
                <w:sz w:val="20"/>
              </w:rPr>
              <w:t>HF Foods Group Inc.</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pPr>
            <w:r>
              <w:rPr/>
              <w:t> </w:t>
            </w:r>
          </w:p>
        </w:tc>
        <w:tc>
          <w:tcPr>
            <w:tcW w:w="2403"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sz w:val="20"/>
              </w:rPr>
            </w:pPr>
            <w:r>
              <w:rPr>
                <w:sz w:val="20"/>
              </w:rPr>
              <w:t>By:</w:t>
            </w:r>
          </w:p>
        </w:tc>
        <w:tc>
          <w:tcPr>
            <w:tcW w:w="2403" w:type="dxa"/>
            <w:tcBorders>
              <w:bottom w:val="single" w:sz="12" w:space="0" w:color="000000"/>
            </w:tcBorders>
            <w:tcMar>
              <w:bottom w:w="28" w:type="dxa"/>
            </w:tcMar>
            <w:vAlign w:val="center"/>
          </w:tcPr>
          <w:p>
            <w:pPr>
              <w:pStyle w:val="TableContents"/>
              <w:bidi w:val="0"/>
              <w:spacing w:before="0" w:after="283"/>
              <w:ind w:left="0" w:right="0" w:hanging="0"/>
              <w:jc w:val="left"/>
              <w:rPr/>
            </w:pPr>
            <w:r>
              <w:rPr/>
              <w:t>/s/ Felix Lin</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sz w:val="20"/>
              </w:rPr>
            </w:pPr>
            <w:r>
              <w:rPr>
                <w:sz w:val="20"/>
              </w:rPr>
              <w:t>Name: </w:t>
            </w:r>
          </w:p>
        </w:tc>
        <w:tc>
          <w:tcPr>
            <w:tcW w:w="2403" w:type="dxa"/>
            <w:tcBorders/>
            <w:vAlign w:val="center"/>
          </w:tcPr>
          <w:p>
            <w:pPr>
              <w:pStyle w:val="TableContents"/>
              <w:bidi w:val="0"/>
              <w:spacing w:before="0" w:after="283"/>
              <w:ind w:left="0" w:right="0" w:hanging="0"/>
              <w:jc w:val="left"/>
              <w:rPr/>
            </w:pPr>
            <w:r>
              <w:rPr/>
              <w:t>Felix Lin</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sz w:val="20"/>
              </w:rPr>
            </w:pPr>
            <w:r>
              <w:rPr>
                <w:sz w:val="20"/>
              </w:rPr>
              <w:t>Title:</w:t>
            </w:r>
          </w:p>
        </w:tc>
        <w:tc>
          <w:tcPr>
            <w:tcW w:w="2403" w:type="dxa"/>
            <w:tcBorders/>
            <w:vAlign w:val="center"/>
          </w:tcPr>
          <w:p>
            <w:pPr>
              <w:pStyle w:val="TableContents"/>
              <w:bidi w:val="0"/>
              <w:spacing w:before="0" w:after="283"/>
              <w:ind w:left="0" w:right="0" w:hanging="0"/>
              <w:jc w:val="left"/>
              <w:rPr/>
            </w:pPr>
            <w:r>
              <w:rPr/>
              <w:t>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pPr>
            <w:r>
              <w:rPr/>
              <w:t> </w:t>
            </w:r>
          </w:p>
        </w:tc>
        <w:tc>
          <w:tcPr>
            <w:tcW w:w="2403"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019" w:type="dxa"/>
            <w:gridSpan w:val="2"/>
            <w:tcBorders/>
            <w:vAlign w:val="center"/>
          </w:tcPr>
          <w:p>
            <w:pPr>
              <w:pStyle w:val="TableContents"/>
              <w:bidi w:val="0"/>
              <w:spacing w:before="0" w:after="283"/>
              <w:ind w:left="0" w:right="0" w:hanging="0"/>
              <w:jc w:val="left"/>
              <w:rPr>
                <w:b/>
                <w:smallCaps/>
                <w:sz w:val="20"/>
              </w:rPr>
            </w:pPr>
            <w:r>
              <w:rPr>
                <w:b/>
                <w:smallCaps/>
                <w:sz w:val="20"/>
              </w:rPr>
              <w:t>HF Acquisition NewCo Inc.</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pPr>
            <w:r>
              <w:rPr/>
              <w:t> </w:t>
            </w:r>
          </w:p>
        </w:tc>
        <w:tc>
          <w:tcPr>
            <w:tcW w:w="2403"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sz w:val="20"/>
              </w:rPr>
            </w:pPr>
            <w:r>
              <w:rPr>
                <w:sz w:val="20"/>
              </w:rPr>
              <w:t>By:</w:t>
            </w:r>
          </w:p>
        </w:tc>
        <w:tc>
          <w:tcPr>
            <w:tcW w:w="2403" w:type="dxa"/>
            <w:tcBorders>
              <w:bottom w:val="single" w:sz="12" w:space="0" w:color="000000"/>
            </w:tcBorders>
            <w:tcMar>
              <w:bottom w:w="28" w:type="dxa"/>
            </w:tcMar>
            <w:vAlign w:val="center"/>
          </w:tcPr>
          <w:p>
            <w:pPr>
              <w:pStyle w:val="TableContents"/>
              <w:bidi w:val="0"/>
              <w:spacing w:before="0" w:after="283"/>
              <w:ind w:left="0" w:right="0" w:hanging="0"/>
              <w:jc w:val="left"/>
              <w:rPr>
                <w:sz w:val="20"/>
              </w:rPr>
            </w:pPr>
            <w:r>
              <w:rPr>
                <w:sz w:val="20"/>
              </w:rPr>
              <w:t>/s/ Felix Lin</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sz w:val="20"/>
              </w:rPr>
            </w:pPr>
            <w:r>
              <w:rPr>
                <w:sz w:val="20"/>
              </w:rPr>
              <w:t>Name:</w:t>
            </w:r>
          </w:p>
        </w:tc>
        <w:tc>
          <w:tcPr>
            <w:tcW w:w="2403" w:type="dxa"/>
            <w:tcBorders/>
            <w:vAlign w:val="center"/>
          </w:tcPr>
          <w:p>
            <w:pPr>
              <w:pStyle w:val="TableContents"/>
              <w:bidi w:val="0"/>
              <w:spacing w:before="0" w:after="283"/>
              <w:ind w:left="0" w:right="0" w:hanging="0"/>
              <w:jc w:val="left"/>
              <w:rPr/>
            </w:pPr>
            <w:r>
              <w:rPr/>
              <w:t>Felix Lin</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sz w:val="20"/>
              </w:rPr>
            </w:pPr>
            <w:r>
              <w:rPr>
                <w:sz w:val="20"/>
              </w:rPr>
              <w:t>Title:</w:t>
            </w:r>
          </w:p>
        </w:tc>
        <w:tc>
          <w:tcPr>
            <w:tcW w:w="2403" w:type="dxa"/>
            <w:tcBorders/>
            <w:vAlign w:val="center"/>
          </w:tcPr>
          <w:p>
            <w:pPr>
              <w:pStyle w:val="TableContents"/>
              <w:bidi w:val="0"/>
              <w:spacing w:before="0" w:after="283"/>
              <w:ind w:left="0" w:right="0" w:hanging="0"/>
              <w:jc w:val="left"/>
              <w:rPr/>
            </w:pPr>
            <w:r>
              <w:rPr/>
              <w:t>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pPr>
            <w:r>
              <w:rPr/>
              <w:t> </w:t>
            </w:r>
          </w:p>
        </w:tc>
        <w:tc>
          <w:tcPr>
            <w:tcW w:w="2403"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019" w:type="dxa"/>
            <w:gridSpan w:val="2"/>
            <w:tcBorders/>
            <w:vAlign w:val="center"/>
          </w:tcPr>
          <w:p>
            <w:pPr>
              <w:pStyle w:val="TableContents"/>
              <w:bidi w:val="0"/>
              <w:spacing w:before="0" w:after="283"/>
              <w:ind w:left="0" w:right="0" w:hanging="0"/>
              <w:jc w:val="left"/>
              <w:rPr>
                <w:b/>
                <w:smallCaps/>
                <w:sz w:val="20"/>
              </w:rPr>
            </w:pPr>
            <w:r>
              <w:rPr>
                <w:b/>
                <w:smallCaps/>
                <w:sz w:val="20"/>
              </w:rPr>
              <w:t>HF Toro Canada Holdings Inc.</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pPr>
            <w:r>
              <w:rPr/>
              <w:t> </w:t>
            </w:r>
          </w:p>
        </w:tc>
        <w:tc>
          <w:tcPr>
            <w:tcW w:w="2403"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sz w:val="20"/>
              </w:rPr>
            </w:pPr>
            <w:r>
              <w:rPr>
                <w:sz w:val="20"/>
              </w:rPr>
              <w:t>By:</w:t>
            </w:r>
          </w:p>
        </w:tc>
        <w:tc>
          <w:tcPr>
            <w:tcW w:w="2403" w:type="dxa"/>
            <w:tcBorders>
              <w:bottom w:val="single" w:sz="12" w:space="0" w:color="000000"/>
            </w:tcBorders>
            <w:tcMar>
              <w:bottom w:w="28" w:type="dxa"/>
            </w:tcMar>
            <w:vAlign w:val="center"/>
          </w:tcPr>
          <w:p>
            <w:pPr>
              <w:pStyle w:val="TableContents"/>
              <w:bidi w:val="0"/>
              <w:spacing w:before="0" w:after="283"/>
              <w:ind w:left="0" w:right="0" w:hanging="0"/>
              <w:jc w:val="left"/>
              <w:rPr/>
            </w:pPr>
            <w:r>
              <w:rPr/>
              <w:t>/s/ Felix Lin</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sz w:val="20"/>
              </w:rPr>
            </w:pPr>
            <w:r>
              <w:rPr>
                <w:sz w:val="20"/>
              </w:rPr>
              <w:t>Name:</w:t>
            </w:r>
          </w:p>
        </w:tc>
        <w:tc>
          <w:tcPr>
            <w:tcW w:w="2403" w:type="dxa"/>
            <w:tcBorders/>
            <w:vAlign w:val="center"/>
          </w:tcPr>
          <w:p>
            <w:pPr>
              <w:pStyle w:val="TableContents"/>
              <w:bidi w:val="0"/>
              <w:spacing w:before="0" w:after="283"/>
              <w:ind w:left="0" w:right="0" w:hanging="0"/>
              <w:jc w:val="left"/>
              <w:rPr/>
            </w:pPr>
            <w:r>
              <w:rPr/>
              <w:t>Felix Lin</w:t>
            </w:r>
          </w:p>
        </w:tc>
      </w:tr>
      <w:tr>
        <w:trPr/>
        <w:tc>
          <w:tcPr>
            <w:tcW w:w="75" w:type="dxa"/>
            <w:tcBorders/>
            <w:vAlign w:val="center"/>
          </w:tcPr>
          <w:p>
            <w:pPr>
              <w:pStyle w:val="TableContents"/>
              <w:bidi w:val="0"/>
              <w:spacing w:before="0" w:after="283"/>
              <w:ind w:left="0" w:right="0" w:hanging="0"/>
              <w:jc w:val="left"/>
              <w:rPr/>
            </w:pPr>
            <w:r>
              <w:rPr/>
              <w:t> </w:t>
            </w:r>
          </w:p>
        </w:tc>
        <w:tc>
          <w:tcPr>
            <w:tcW w:w="616" w:type="dxa"/>
            <w:tcBorders/>
            <w:vAlign w:val="center"/>
          </w:tcPr>
          <w:p>
            <w:pPr>
              <w:pStyle w:val="TableContents"/>
              <w:bidi w:val="0"/>
              <w:spacing w:before="0" w:after="283"/>
              <w:ind w:left="0" w:right="0" w:hanging="0"/>
              <w:jc w:val="left"/>
              <w:rPr>
                <w:sz w:val="20"/>
              </w:rPr>
            </w:pPr>
            <w:r>
              <w:rPr>
                <w:sz w:val="20"/>
              </w:rPr>
              <w:t>Title:</w:t>
            </w:r>
          </w:p>
        </w:tc>
        <w:tc>
          <w:tcPr>
            <w:tcW w:w="2403" w:type="dxa"/>
            <w:tcBorders/>
            <w:vAlign w:val="center"/>
          </w:tcPr>
          <w:p>
            <w:pPr>
              <w:pStyle w:val="TableContents"/>
              <w:bidi w:val="0"/>
              <w:spacing w:before="0" w:after="283"/>
              <w:jc w:val="left"/>
              <w:rPr/>
            </w:pPr>
            <w:r>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590"/>
        <w:gridCol w:w="1925"/>
      </w:tblGrid>
      <w:tr>
        <w:trPr/>
        <w:tc>
          <w:tcPr>
            <w:tcW w:w="75" w:type="dxa"/>
            <w:tcBorders/>
            <w:vAlign w:val="center"/>
          </w:tcPr>
          <w:p>
            <w:pPr>
              <w:pStyle w:val="TableContents"/>
              <w:bidi w:val="0"/>
              <w:spacing w:before="0" w:after="283"/>
              <w:ind w:left="0" w:right="0" w:hanging="0"/>
              <w:jc w:val="left"/>
              <w:rPr/>
            </w:pPr>
            <w:r>
              <w:rPr/>
              <w:t> </w:t>
            </w:r>
          </w:p>
        </w:tc>
        <w:tc>
          <w:tcPr>
            <w:tcW w:w="2515" w:type="dxa"/>
            <w:gridSpan w:val="2"/>
            <w:tcBorders/>
            <w:vAlign w:val="center"/>
          </w:tcPr>
          <w:p>
            <w:pPr>
              <w:pStyle w:val="TableContents"/>
              <w:bidi w:val="0"/>
              <w:spacing w:before="0" w:after="283"/>
              <w:ind w:left="0" w:right="0" w:hanging="0"/>
              <w:jc w:val="left"/>
              <w:rPr>
                <w:b/>
                <w:smallCaps/>
                <w:sz w:val="20"/>
              </w:rPr>
            </w:pPr>
            <w:r>
              <w:rPr>
                <w:b/>
                <w:smallCaps/>
                <w:sz w:val="20"/>
              </w:rPr>
              <w:t>SEARAY FOODS INC.</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pPr>
            <w:r>
              <w:rPr/>
              <w:t> </w:t>
            </w:r>
          </w:p>
        </w:tc>
        <w:tc>
          <w:tcPr>
            <w:tcW w:w="192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sz w:val="20"/>
              </w:rPr>
            </w:pPr>
            <w:r>
              <w:rPr>
                <w:sz w:val="20"/>
              </w:rPr>
              <w:t>By:</w:t>
            </w:r>
          </w:p>
        </w:tc>
        <w:tc>
          <w:tcPr>
            <w:tcW w:w="1925" w:type="dxa"/>
            <w:tcBorders>
              <w:bottom w:val="single" w:sz="12" w:space="0" w:color="000000"/>
            </w:tcBorders>
            <w:tcMar>
              <w:bottom w:w="28" w:type="dxa"/>
            </w:tcMar>
            <w:vAlign w:val="center"/>
          </w:tcPr>
          <w:p>
            <w:pPr>
              <w:pStyle w:val="TableContents"/>
              <w:bidi w:val="0"/>
              <w:spacing w:before="0" w:after="283"/>
              <w:ind w:left="0" w:right="0" w:hanging="0"/>
              <w:jc w:val="left"/>
              <w:rPr>
                <w:sz w:val="20"/>
              </w:rPr>
            </w:pPr>
            <w:r>
              <w:rPr>
                <w:sz w:val="20"/>
              </w:rPr>
              <w:t>/s/ Jackie Chi Fai Chan</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sz w:val="20"/>
              </w:rPr>
            </w:pPr>
            <w:r>
              <w:rPr>
                <w:sz w:val="20"/>
              </w:rPr>
              <w:t>Name: </w:t>
            </w:r>
          </w:p>
        </w:tc>
        <w:tc>
          <w:tcPr>
            <w:tcW w:w="1925" w:type="dxa"/>
            <w:tcBorders/>
            <w:vAlign w:val="center"/>
          </w:tcPr>
          <w:p>
            <w:pPr>
              <w:pStyle w:val="TableContents"/>
              <w:bidi w:val="0"/>
              <w:spacing w:before="0" w:after="283"/>
              <w:ind w:left="0" w:right="0" w:hanging="0"/>
              <w:jc w:val="left"/>
              <w:rPr>
                <w:sz w:val="20"/>
              </w:rPr>
            </w:pPr>
            <w:r>
              <w:rPr>
                <w:sz w:val="20"/>
              </w:rPr>
              <w:t>Jackie Chi Fai Chan</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sz w:val="20"/>
              </w:rPr>
            </w:pPr>
            <w:r>
              <w:rPr>
                <w:sz w:val="20"/>
              </w:rPr>
              <w:t>Title:</w:t>
            </w:r>
          </w:p>
        </w:tc>
        <w:tc>
          <w:tcPr>
            <w:tcW w:w="1925" w:type="dxa"/>
            <w:tcBorders/>
            <w:vAlign w:val="center"/>
          </w:tcPr>
          <w:p>
            <w:pPr>
              <w:pStyle w:val="TableContents"/>
              <w:bidi w:val="0"/>
              <w:spacing w:before="0" w:after="283"/>
              <w:ind w:left="0" w:right="0" w:hanging="0"/>
              <w:jc w:val="left"/>
              <w:rPr>
                <w:sz w:val="20"/>
              </w:rPr>
            </w:pPr>
            <w:r>
              <w:rPr>
                <w:sz w:val="20"/>
              </w:rPr>
              <w:t>President and Treasurer</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pPr>
            <w:r>
              <w:rPr/>
              <w:t> </w:t>
            </w:r>
          </w:p>
        </w:tc>
        <w:tc>
          <w:tcPr>
            <w:tcW w:w="192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2515" w:type="dxa"/>
            <w:gridSpan w:val="2"/>
            <w:tcBorders/>
            <w:vAlign w:val="center"/>
          </w:tcPr>
          <w:p>
            <w:pPr>
              <w:pStyle w:val="TableContents"/>
              <w:bidi w:val="0"/>
              <w:spacing w:before="0" w:after="283"/>
              <w:ind w:left="0" w:right="0" w:hanging="0"/>
              <w:jc w:val="left"/>
              <w:rPr>
                <w:b/>
                <w:smallCaps/>
                <w:sz w:val="20"/>
              </w:rPr>
            </w:pPr>
            <w:r>
              <w:rPr>
                <w:b/>
                <w:smallCaps/>
                <w:sz w:val="20"/>
              </w:rPr>
              <w:t>MORGAN FOODS INC.</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pPr>
            <w:r>
              <w:rPr/>
              <w:t> </w:t>
            </w:r>
          </w:p>
        </w:tc>
        <w:tc>
          <w:tcPr>
            <w:tcW w:w="192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sz w:val="20"/>
              </w:rPr>
            </w:pPr>
            <w:r>
              <w:rPr>
                <w:sz w:val="20"/>
              </w:rPr>
              <w:t>By:</w:t>
            </w:r>
          </w:p>
        </w:tc>
        <w:tc>
          <w:tcPr>
            <w:tcW w:w="1925" w:type="dxa"/>
            <w:tcBorders>
              <w:bottom w:val="single" w:sz="12" w:space="0" w:color="000000"/>
            </w:tcBorders>
            <w:tcMar>
              <w:bottom w:w="28" w:type="dxa"/>
            </w:tcMar>
            <w:vAlign w:val="center"/>
          </w:tcPr>
          <w:p>
            <w:pPr>
              <w:pStyle w:val="TableContents"/>
              <w:bidi w:val="0"/>
              <w:spacing w:before="0" w:after="283"/>
              <w:ind w:left="0" w:right="0" w:hanging="0"/>
              <w:jc w:val="left"/>
              <w:rPr>
                <w:sz w:val="20"/>
              </w:rPr>
            </w:pPr>
            <w:r>
              <w:rPr>
                <w:sz w:val="20"/>
              </w:rPr>
              <w:t>/s/ Jackie Chi Fai Chan</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sz w:val="20"/>
              </w:rPr>
            </w:pPr>
            <w:r>
              <w:rPr>
                <w:sz w:val="20"/>
              </w:rPr>
              <w:t>Name: </w:t>
            </w:r>
          </w:p>
        </w:tc>
        <w:tc>
          <w:tcPr>
            <w:tcW w:w="1925" w:type="dxa"/>
            <w:tcBorders/>
            <w:vAlign w:val="center"/>
          </w:tcPr>
          <w:p>
            <w:pPr>
              <w:pStyle w:val="TableContents"/>
              <w:bidi w:val="0"/>
              <w:spacing w:before="0" w:after="283"/>
              <w:ind w:left="0" w:right="0" w:hanging="0"/>
              <w:jc w:val="left"/>
              <w:rPr>
                <w:sz w:val="20"/>
              </w:rPr>
            </w:pPr>
            <w:r>
              <w:rPr>
                <w:sz w:val="20"/>
              </w:rPr>
              <w:t>Jackie Chi Fai Chan</w:t>
            </w:r>
          </w:p>
        </w:tc>
      </w:tr>
      <w:tr>
        <w:trPr/>
        <w:tc>
          <w:tcPr>
            <w:tcW w:w="7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sz w:val="20"/>
              </w:rPr>
            </w:pPr>
            <w:r>
              <w:rPr>
                <w:sz w:val="20"/>
              </w:rPr>
              <w:t>Title:</w:t>
            </w:r>
          </w:p>
        </w:tc>
        <w:tc>
          <w:tcPr>
            <w:tcW w:w="1925" w:type="dxa"/>
            <w:tcBorders/>
            <w:vAlign w:val="center"/>
          </w:tcPr>
          <w:p>
            <w:pPr>
              <w:pStyle w:val="TableContents"/>
              <w:bidi w:val="0"/>
              <w:spacing w:before="0" w:after="283"/>
              <w:jc w:val="left"/>
              <w:rPr>
                <w:sz w:val="20"/>
              </w:rPr>
            </w:pPr>
            <w:r>
              <w:rPr>
                <w:sz w:val="20"/>
              </w:rPr>
              <w:t>President</w:t>
            </w:r>
          </w:p>
        </w:tc>
      </w:tr>
    </w:tbl>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4320" w:right="0" w:hanging="0"/>
        <w:jc w:val="left"/>
        <w:rPr>
          <w:caps w:val="false"/>
          <w:smallCaps w:val="false"/>
        </w:rPr>
      </w:pPr>
      <w:r>
        <w:rPr>
          <w:caps w:val="false"/>
          <w:smallCaps w:val="false"/>
        </w:rPr>
        <w:t> </w:t>
      </w:r>
    </w:p>
    <w:tbl>
      <w:tblPr>
        <w:tblW w:w="2818" w:type="dxa"/>
        <w:jc w:val="left"/>
        <w:tblInd w:w="0" w:type="dxa"/>
        <w:tblLayout w:type="fixed"/>
        <w:tblCellMar>
          <w:top w:w="0" w:type="dxa"/>
          <w:left w:w="0" w:type="dxa"/>
          <w:bottom w:w="0" w:type="dxa"/>
          <w:right w:w="0" w:type="dxa"/>
        </w:tblCellMar>
      </w:tblPr>
      <w:tblGrid>
        <w:gridCol w:w="75"/>
        <w:gridCol w:w="23"/>
        <w:gridCol w:w="2720"/>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720"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sz w:val="20"/>
              </w:rPr>
              <w:t>Jackie Chi Fai Chan</w:t>
            </w:r>
          </w:p>
        </w:tc>
      </w:tr>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JACKIE CHI FAI CHAN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758" w:type="dxa"/>
        <w:jc w:val="left"/>
        <w:tblInd w:w="0" w:type="dxa"/>
        <w:tblLayout w:type="fixed"/>
        <w:tblCellMar>
          <w:top w:w="0" w:type="dxa"/>
          <w:left w:w="0" w:type="dxa"/>
          <w:bottom w:w="0" w:type="dxa"/>
          <w:right w:w="0" w:type="dxa"/>
        </w:tblCellMar>
      </w:tblPr>
      <w:tblGrid>
        <w:gridCol w:w="75"/>
        <w:gridCol w:w="23"/>
        <w:gridCol w:w="2660"/>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660" w:type="dxa"/>
            <w:tcBorders>
              <w:bottom w:val="single" w:sz="12" w:space="0" w:color="000000"/>
            </w:tcBorders>
            <w:tcMar>
              <w:bottom w:w="28" w:type="dxa"/>
            </w:tcMar>
            <w:vAlign w:val="center"/>
          </w:tcPr>
          <w:p>
            <w:pPr>
              <w:pStyle w:val="TableContents"/>
              <w:bidi w:val="0"/>
              <w:spacing w:before="0" w:after="283"/>
              <w:jc w:val="left"/>
              <w:rPr/>
            </w:pPr>
            <w:r>
              <w:rPr/>
              <w:t>/s/ Chi Kin Philip Chan</w:t>
            </w:r>
          </w:p>
        </w:tc>
      </w:tr>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CHI KIN PHILIP CHAN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75"/>
        <w:gridCol w:w="60"/>
        <w:gridCol w:w="198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bottom w:val="single" w:sz="12" w:space="0" w:color="000000"/>
            </w:tcBorders>
            <w:tcMar>
              <w:bottom w:w="28" w:type="dxa"/>
            </w:tcMar>
            <w:vAlign w:val="center"/>
          </w:tcPr>
          <w:p>
            <w:pPr>
              <w:pStyle w:val="TableContents"/>
              <w:bidi w:val="0"/>
              <w:spacing w:before="0" w:after="283"/>
              <w:jc w:val="left"/>
              <w:rPr/>
            </w:pPr>
            <w:r>
              <w:rPr/>
              <w:t>/s/ Nga Tat Wong</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NGA TAT WONG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210" w:type="dxa"/>
        <w:jc w:val="left"/>
        <w:tblInd w:w="0" w:type="dxa"/>
        <w:tblLayout w:type="fixed"/>
        <w:tblCellMar>
          <w:top w:w="0" w:type="dxa"/>
          <w:left w:w="0" w:type="dxa"/>
          <w:bottom w:w="0" w:type="dxa"/>
          <w:right w:w="0" w:type="dxa"/>
        </w:tblCellMar>
      </w:tblPr>
      <w:tblGrid>
        <w:gridCol w:w="75"/>
        <w:gridCol w:w="60"/>
        <w:gridCol w:w="20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tcBorders>
              <w:bottom w:val="single" w:sz="12" w:space="0" w:color="000000"/>
            </w:tcBorders>
            <w:tcMar>
              <w:bottom w:w="28" w:type="dxa"/>
            </w:tcMar>
            <w:vAlign w:val="center"/>
          </w:tcPr>
          <w:p>
            <w:pPr>
              <w:pStyle w:val="TableContents"/>
              <w:bidi w:val="0"/>
              <w:spacing w:before="0" w:after="283"/>
              <w:jc w:val="left"/>
              <w:rPr/>
            </w:pPr>
            <w:r>
              <w:rPr/>
              <w:t>/s/ Raymond Wong</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HO WANG WONG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75"/>
        <w:gridCol w:w="383"/>
        <w:gridCol w:w="2051"/>
      </w:tblGrid>
      <w:tr>
        <w:trPr/>
        <w:tc>
          <w:tcPr>
            <w:tcW w:w="75"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DNY HOLDINGS LIMITED</w:t>
            </w:r>
          </w:p>
        </w:tc>
      </w:tr>
      <w:tr>
        <w:trPr/>
        <w:tc>
          <w:tcPr>
            <w:tcW w:w="75"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2051" w:type="dxa"/>
            <w:tcBorders>
              <w:bottom w:val="single" w:sz="12" w:space="0" w:color="000000"/>
            </w:tcBorders>
            <w:tcMar>
              <w:bottom w:w="28" w:type="dxa"/>
            </w:tcMar>
            <w:vAlign w:val="center"/>
          </w:tcPr>
          <w:p>
            <w:pPr>
              <w:pStyle w:val="TableContents"/>
              <w:bidi w:val="0"/>
              <w:spacing w:before="0" w:after="283"/>
              <w:jc w:val="left"/>
              <w:rPr/>
            </w:pPr>
            <w:r>
              <w:rPr/>
              <w:t>/s/ Derick Ngan</w:t>
            </w:r>
          </w:p>
        </w:tc>
      </w:tr>
      <w:tr>
        <w:trPr/>
        <w:tc>
          <w:tcPr>
            <w:tcW w:w="75" w:type="dxa"/>
            <w:tcBorders/>
            <w:vAlign w:val="center"/>
          </w:tcPr>
          <w:p>
            <w:pPr>
              <w:pStyle w:val="TableContents"/>
              <w:bidi w:val="0"/>
              <w:spacing w:before="0" w:after="283"/>
              <w:jc w:val="center"/>
              <w:rPr/>
            </w:pPr>
            <w:r>
              <w:rPr/>
              <w:t> </w:t>
            </w:r>
          </w:p>
        </w:tc>
        <w:tc>
          <w:tcPr>
            <w:tcW w:w="383" w:type="dxa"/>
            <w:tcBorders/>
            <w:vAlign w:val="center"/>
          </w:tcPr>
          <w:p>
            <w:pPr>
              <w:pStyle w:val="TableContents"/>
              <w:bidi w:val="0"/>
              <w:spacing w:before="0" w:after="283"/>
              <w:jc w:val="both"/>
              <w:rPr/>
            </w:pPr>
            <w:r>
              <w:rPr/>
              <w:t> </w:t>
            </w:r>
          </w:p>
        </w:tc>
        <w:tc>
          <w:tcPr>
            <w:tcW w:w="20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9695" w:type="dxa"/>
        <w:jc w:val="left"/>
        <w:tblInd w:w="0" w:type="dxa"/>
        <w:tblLayout w:type="fixed"/>
        <w:tblCellMar>
          <w:top w:w="0" w:type="dxa"/>
          <w:left w:w="0" w:type="dxa"/>
          <w:bottom w:w="0" w:type="dxa"/>
          <w:right w:w="0" w:type="dxa"/>
        </w:tblCellMar>
      </w:tblPr>
      <w:tblGrid>
        <w:gridCol w:w="75"/>
        <w:gridCol w:w="60"/>
        <w:gridCol w:w="956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0" w:type="dxa"/>
            <w:tcBorders>
              <w:bottom w:val="single" w:sz="12" w:space="0" w:color="000000"/>
            </w:tcBorders>
            <w:tcMar>
              <w:bottom w:w="28" w:type="dxa"/>
            </w:tcMar>
            <w:vAlign w:val="center"/>
          </w:tcPr>
          <w:p>
            <w:pPr>
              <w:pStyle w:val="TableContents"/>
              <w:bidi w:val="0"/>
              <w:spacing w:before="0" w:after="283"/>
              <w:jc w:val="left"/>
              <w:rPr/>
            </w:pPr>
            <w:r>
              <w:rPr/>
              <w:t>/s/ Chi Kin Philip Chan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CHI KIN PHILIP CHAN, AS TRUSTEE OF THE PHILIP CHAN (2023) FAMILY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9845" w:type="dxa"/>
        <w:jc w:val="left"/>
        <w:tblInd w:w="0" w:type="dxa"/>
        <w:tblLayout w:type="fixed"/>
        <w:tblCellMar>
          <w:top w:w="0" w:type="dxa"/>
          <w:left w:w="0" w:type="dxa"/>
          <w:bottom w:w="0" w:type="dxa"/>
          <w:right w:w="0" w:type="dxa"/>
        </w:tblCellMar>
      </w:tblPr>
      <w:tblGrid>
        <w:gridCol w:w="75"/>
        <w:gridCol w:w="60"/>
        <w:gridCol w:w="971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0" w:type="dxa"/>
            <w:tcBorders>
              <w:bottom w:val="single" w:sz="12" w:space="0" w:color="000000"/>
            </w:tcBorders>
            <w:tcMar>
              <w:bottom w:w="28" w:type="dxa"/>
            </w:tcMar>
            <w:vAlign w:val="center"/>
          </w:tcPr>
          <w:p>
            <w:pPr>
              <w:pStyle w:val="TableContents"/>
              <w:bidi w:val="0"/>
              <w:spacing w:before="0" w:after="283"/>
              <w:jc w:val="left"/>
              <w:rPr/>
            </w:pPr>
            <w:r>
              <w:rPr/>
              <w:t>/s/ Jackie Chi Fai Chan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JACKIE CHI FAI CHAN, AS TRUSTEE OF THE JACKIE CHAN (2023) FAMILY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85"/>
        <w:gridCol w:w="60"/>
        <w:gridCol w:w="5060"/>
      </w:tblGrid>
      <w:tr>
        <w:trPr/>
        <w:tc>
          <w:tcPr>
            <w:tcW w:w="5085" w:type="dxa"/>
            <w:tcBorders>
              <w:bottom w:val="single" w:sz="12" w:space="0" w:color="000000"/>
            </w:tcBorders>
            <w:vAlign w:val="center"/>
          </w:tcPr>
          <w:p>
            <w:pPr>
              <w:pStyle w:val="TableContents"/>
              <w:bidi w:val="0"/>
              <w:spacing w:before="0" w:after="283"/>
              <w:jc w:val="left"/>
              <w:rPr/>
            </w:pPr>
            <w:r>
              <w:rPr/>
              <w:t>/s/ Jackie Chi Fai Chan</w:t>
            </w:r>
          </w:p>
        </w:tc>
        <w:tc>
          <w:tcPr>
            <w:tcW w:w="60" w:type="dxa"/>
            <w:tcBorders/>
            <w:tcMar>
              <w:bottom w:w="0" w:type="dxa"/>
            </w:tcMar>
            <w:vAlign w:val="center"/>
          </w:tcPr>
          <w:p>
            <w:pPr>
              <w:pStyle w:val="TableContents"/>
              <w:bidi w:val="0"/>
              <w:spacing w:before="0" w:after="283"/>
              <w:jc w:val="left"/>
              <w:rPr/>
            </w:pPr>
            <w:r>
              <w:rPr/>
              <w:t> </w:t>
            </w:r>
          </w:p>
        </w:tc>
        <w:tc>
          <w:tcPr>
            <w:tcW w:w="5060" w:type="dxa"/>
            <w:tcBorders>
              <w:bottom w:val="single" w:sz="12" w:space="0" w:color="000000"/>
            </w:tcBorders>
            <w:vAlign w:val="center"/>
          </w:tcPr>
          <w:p>
            <w:pPr>
              <w:pStyle w:val="TableContents"/>
              <w:bidi w:val="0"/>
              <w:spacing w:before="0" w:after="283"/>
              <w:jc w:val="left"/>
              <w:rPr/>
            </w:pPr>
            <w:r>
              <w:rPr/>
              <w:t>/s/ Chi Kin Philip Chan</w:t>
            </w:r>
          </w:p>
        </w:tc>
      </w:tr>
      <w:tr>
        <w:trPr/>
        <w:tc>
          <w:tcPr>
            <w:tcW w:w="5085"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JACKIE CHI FAI CHAN, AS TRUSTEE OF THE JACKIE AND PHILIP CHAN FAMILY TRUST</w:t>
            </w:r>
          </w:p>
        </w:tc>
        <w:tc>
          <w:tcPr>
            <w:tcW w:w="6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PHILIP CHI KIN CHAN, AS TRUSTEE OF THE JACKIE AND PHILIP CHAN FAMILY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559" w:type="dxa"/>
        <w:jc w:val="left"/>
        <w:tblInd w:w="0" w:type="dxa"/>
        <w:tblLayout w:type="fixed"/>
        <w:tblCellMar>
          <w:top w:w="0" w:type="dxa"/>
          <w:left w:w="0" w:type="dxa"/>
          <w:bottom w:w="0" w:type="dxa"/>
          <w:right w:w="0" w:type="dxa"/>
        </w:tblCellMar>
      </w:tblPr>
      <w:tblGrid>
        <w:gridCol w:w="75"/>
        <w:gridCol w:w="456"/>
        <w:gridCol w:w="3028"/>
      </w:tblGrid>
      <w:tr>
        <w:trPr/>
        <w:tc>
          <w:tcPr>
            <w:tcW w:w="75" w:type="dxa"/>
            <w:tcBorders/>
            <w:vAlign w:val="center"/>
          </w:tcPr>
          <w:p>
            <w:pPr>
              <w:pStyle w:val="TableContents"/>
              <w:bidi w:val="0"/>
              <w:spacing w:before="0" w:after="283"/>
              <w:jc w:val="both"/>
              <w:rPr/>
            </w:pPr>
            <w:r>
              <w:rPr/>
              <w:t> </w:t>
            </w:r>
          </w:p>
        </w:tc>
        <w:tc>
          <w:tcPr>
            <w:tcW w:w="3484" w:type="dxa"/>
            <w:gridSpan w:val="2"/>
            <w:tcBorders/>
            <w:vAlign w:val="center"/>
          </w:tcPr>
          <w:p>
            <w:pPr>
              <w:pStyle w:val="TableContents"/>
              <w:bidi w:val="0"/>
              <w:spacing w:before="0" w:after="283"/>
              <w:jc w:val="left"/>
              <w:rPr/>
            </w:pPr>
            <w:r>
              <w:rPr>
                <w:b/>
              </w:rPr>
              <w:t>JP SEARAY HOLDINGS LTD.</w:t>
            </w:r>
            <w:r>
              <w:rPr/>
              <w:t xml:space="preserve">  </w:t>
            </w:r>
          </w:p>
        </w:tc>
      </w:tr>
      <w:tr>
        <w:trPr/>
        <w:tc>
          <w:tcPr>
            <w:tcW w:w="75" w:type="dxa"/>
            <w:tcBorders/>
            <w:vAlign w:val="center"/>
          </w:tcPr>
          <w:p>
            <w:pPr>
              <w:pStyle w:val="TableContents"/>
              <w:bidi w:val="0"/>
              <w:spacing w:before="0" w:after="283"/>
              <w:jc w:val="both"/>
              <w:rPr/>
            </w:pPr>
            <w:r>
              <w:rPr/>
              <w:t> </w:t>
            </w:r>
          </w:p>
        </w:tc>
        <w:tc>
          <w:tcPr>
            <w:tcW w:w="34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w:t>
            </w:r>
          </w:p>
        </w:tc>
        <w:tc>
          <w:tcPr>
            <w:tcW w:w="3028" w:type="dxa"/>
            <w:tcBorders>
              <w:bottom w:val="single" w:sz="12" w:space="0" w:color="000000"/>
            </w:tcBorders>
            <w:tcMar>
              <w:bottom w:w="28" w:type="dxa"/>
            </w:tcMar>
            <w:vAlign w:val="center"/>
          </w:tcPr>
          <w:p>
            <w:pPr>
              <w:pStyle w:val="TableContents"/>
              <w:bidi w:val="0"/>
              <w:spacing w:before="0" w:after="283"/>
              <w:jc w:val="left"/>
              <w:rPr/>
            </w:pPr>
            <w:r>
              <w:rPr/>
              <w:t>/s/ Jackie Chi Fai Chan</w:t>
            </w:r>
          </w:p>
        </w:tc>
      </w:tr>
      <w:tr>
        <w:trPr/>
        <w:tc>
          <w:tcPr>
            <w:tcW w:w="75" w:type="dxa"/>
            <w:tcBorders/>
            <w:vAlign w:val="center"/>
          </w:tcPr>
          <w:p>
            <w:pPr>
              <w:pStyle w:val="TableContents"/>
              <w:bidi w:val="0"/>
              <w:spacing w:before="0" w:after="283"/>
              <w:jc w:val="center"/>
              <w:rPr/>
            </w:pPr>
            <w:r>
              <w:rPr/>
              <w:t> </w:t>
            </w:r>
          </w:p>
        </w:tc>
        <w:tc>
          <w:tcPr>
            <w:tcW w:w="456" w:type="dxa"/>
            <w:tcBorders/>
            <w:vAlign w:val="center"/>
          </w:tcPr>
          <w:p>
            <w:pPr>
              <w:pStyle w:val="TableContents"/>
              <w:bidi w:val="0"/>
              <w:spacing w:before="0" w:after="283"/>
              <w:jc w:val="both"/>
              <w:rPr/>
            </w:pPr>
            <w:r>
              <w:rPr/>
              <w:t> </w:t>
            </w:r>
          </w:p>
        </w:tc>
        <w:tc>
          <w:tcPr>
            <w:tcW w:w="302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Buyer Entities, the Company Group, the Sellers and the Sellers Representative have caused this Amendment to be signed,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6394" w:type="dxa"/>
        <w:jc w:val="left"/>
        <w:tblInd w:w="0" w:type="dxa"/>
        <w:tblLayout w:type="fixed"/>
        <w:tblCellMar>
          <w:top w:w="0" w:type="dxa"/>
          <w:left w:w="0" w:type="dxa"/>
          <w:bottom w:w="0" w:type="dxa"/>
          <w:right w:w="0" w:type="dxa"/>
        </w:tblCellMar>
      </w:tblPr>
      <w:tblGrid>
        <w:gridCol w:w="75"/>
        <w:gridCol w:w="1491"/>
        <w:gridCol w:w="4828"/>
      </w:tblGrid>
      <w:tr>
        <w:trPr/>
        <w:tc>
          <w:tcPr>
            <w:tcW w:w="75" w:type="dxa"/>
            <w:tcBorders/>
            <w:vAlign w:val="center"/>
          </w:tcPr>
          <w:p>
            <w:pPr>
              <w:pStyle w:val="TableContents"/>
              <w:bidi w:val="0"/>
              <w:spacing w:before="0" w:after="283"/>
              <w:ind w:left="0" w:right="0" w:hanging="0"/>
              <w:jc w:val="left"/>
              <w:rPr/>
            </w:pPr>
            <w:r>
              <w:rPr/>
              <w:t> </w:t>
            </w:r>
          </w:p>
        </w:tc>
        <w:tc>
          <w:tcPr>
            <w:tcW w:w="6319" w:type="dxa"/>
            <w:gridSpan w:val="2"/>
            <w:tcBorders/>
            <w:vAlign w:val="center"/>
          </w:tcPr>
          <w:p>
            <w:pPr>
              <w:pStyle w:val="TableContents"/>
              <w:bidi w:val="0"/>
              <w:spacing w:before="0" w:after="283"/>
              <w:ind w:left="0" w:right="0" w:hanging="0"/>
              <w:jc w:val="left"/>
              <w:rPr>
                <w:sz w:val="20"/>
              </w:rPr>
            </w:pPr>
            <w:r>
              <w:rPr>
                <w:b/>
                <w:sz w:val="20"/>
              </w:rPr>
              <w:t>JACKIE CHI FAI CHAN</w:t>
            </w:r>
            <w:r>
              <w:rPr>
                <w:sz w:val="20"/>
              </w:rPr>
              <w:t>, solely in his capacity as the Sellers Representative</w:t>
            </w:r>
          </w:p>
        </w:tc>
      </w:tr>
      <w:tr>
        <w:trPr/>
        <w:tc>
          <w:tcPr>
            <w:tcW w:w="75" w:type="dxa"/>
            <w:tcBorders/>
            <w:vAlign w:val="center"/>
          </w:tcPr>
          <w:p>
            <w:pPr>
              <w:pStyle w:val="TableContents"/>
              <w:bidi w:val="0"/>
              <w:spacing w:before="0" w:after="283"/>
              <w:ind w:left="0" w:right="0" w:hanging="0"/>
              <w:jc w:val="left"/>
              <w:rPr/>
            </w:pPr>
            <w:r>
              <w:rPr/>
              <w:t> </w:t>
            </w:r>
          </w:p>
        </w:tc>
        <w:tc>
          <w:tcPr>
            <w:tcW w:w="1491" w:type="dxa"/>
            <w:tcBorders/>
            <w:vAlign w:val="center"/>
          </w:tcPr>
          <w:p>
            <w:pPr>
              <w:pStyle w:val="TableContents"/>
              <w:bidi w:val="0"/>
              <w:spacing w:before="0" w:after="283"/>
              <w:ind w:left="0" w:right="0" w:hanging="0"/>
              <w:jc w:val="left"/>
              <w:rPr/>
            </w:pPr>
            <w:r>
              <w:rPr/>
              <w:t> </w:t>
            </w:r>
          </w:p>
        </w:tc>
        <w:tc>
          <w:tcPr>
            <w:tcW w:w="4828"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91" w:type="dxa"/>
            <w:tcBorders/>
            <w:vAlign w:val="center"/>
          </w:tcPr>
          <w:p>
            <w:pPr>
              <w:pStyle w:val="TableContents"/>
              <w:bidi w:val="0"/>
              <w:spacing w:before="0" w:after="283"/>
              <w:ind w:left="0" w:right="0" w:hanging="0"/>
              <w:jc w:val="left"/>
              <w:rPr>
                <w:sz w:val="20"/>
              </w:rPr>
            </w:pPr>
            <w:r>
              <w:rPr>
                <w:sz w:val="20"/>
              </w:rPr>
              <w:t>By:</w:t>
            </w:r>
          </w:p>
        </w:tc>
        <w:tc>
          <w:tcPr>
            <w:tcW w:w="4828" w:type="dxa"/>
            <w:tcBorders>
              <w:bottom w:val="single" w:sz="12" w:space="0" w:color="000000"/>
            </w:tcBorders>
            <w:tcMar>
              <w:bottom w:w="28" w:type="dxa"/>
            </w:tcMar>
            <w:vAlign w:val="center"/>
          </w:tcPr>
          <w:p>
            <w:pPr>
              <w:pStyle w:val="TableContents"/>
              <w:bidi w:val="0"/>
              <w:spacing w:before="0" w:after="283"/>
              <w:ind w:left="0" w:right="0" w:hanging="0"/>
              <w:jc w:val="left"/>
              <w:rPr>
                <w:sz w:val="20"/>
              </w:rPr>
            </w:pPr>
            <w:r>
              <w:rPr>
                <w:sz w:val="20"/>
              </w:rPr>
              <w:t>/s/ Jackie Chi Fai Chan</w:t>
            </w:r>
          </w:p>
        </w:tc>
      </w:tr>
      <w:tr>
        <w:trPr/>
        <w:tc>
          <w:tcPr>
            <w:tcW w:w="75" w:type="dxa"/>
            <w:tcBorders/>
            <w:vAlign w:val="center"/>
          </w:tcPr>
          <w:p>
            <w:pPr>
              <w:pStyle w:val="TableContents"/>
              <w:bidi w:val="0"/>
              <w:spacing w:before="0" w:after="283"/>
              <w:ind w:left="0" w:right="0" w:hanging="0"/>
              <w:jc w:val="left"/>
              <w:rPr/>
            </w:pPr>
            <w:r>
              <w:rPr/>
              <w:t> </w:t>
            </w:r>
          </w:p>
        </w:tc>
        <w:tc>
          <w:tcPr>
            <w:tcW w:w="1491" w:type="dxa"/>
            <w:tcBorders/>
            <w:vAlign w:val="center"/>
          </w:tcPr>
          <w:p>
            <w:pPr>
              <w:pStyle w:val="TableContents"/>
              <w:bidi w:val="0"/>
              <w:spacing w:before="0" w:after="283"/>
              <w:ind w:left="0" w:right="0" w:hanging="0"/>
              <w:jc w:val="left"/>
              <w:rPr>
                <w:sz w:val="20"/>
              </w:rPr>
            </w:pPr>
            <w:r>
              <w:rPr>
                <w:sz w:val="20"/>
              </w:rPr>
              <w:t>Name: </w:t>
            </w:r>
          </w:p>
        </w:tc>
        <w:tc>
          <w:tcPr>
            <w:tcW w:w="4828" w:type="dxa"/>
            <w:tcBorders/>
            <w:vAlign w:val="center"/>
          </w:tcPr>
          <w:p>
            <w:pPr>
              <w:pStyle w:val="TableContents"/>
              <w:bidi w:val="0"/>
              <w:spacing w:before="0" w:after="283"/>
              <w:jc w:val="left"/>
              <w:rPr>
                <w:sz w:val="20"/>
              </w:rPr>
            </w:pPr>
            <w:r>
              <w:rPr>
                <w:sz w:val="20"/>
              </w:rPr>
              <w:t>Jackie Chi Fai Chan</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8" w:name="ea030408801ex10-3.htm"/>
      <w:bookmarkStart w:id="29" w:name="ksea030408801ex103"/>
      <w:bookmarkEnd w:id="28"/>
      <w:bookmarkEnd w:id="29"/>
      <w:r>
        <w:rPr>
          <w:b/>
        </w:rPr>
        <w:t>Exhibit 10.3</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 CREDIT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CONSENT UNDER THIRD AMENDED AND RESTATED CREDIT AGREEMENT (this “</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is entered into as of August 31, 2026 by and among HF FOODS GROUP INC., a Delaware corporation (“</w:t>
      </w:r>
      <w:r>
        <w:rPr>
          <w:rFonts w:ascii="Times New Roman;Times;Serif" w:hAnsi="Times New Roman;Times;Serif"/>
          <w:b w:val="false"/>
          <w:i w:val="false"/>
          <w:caps w:val="false"/>
          <w:smallCaps w:val="false"/>
          <w:sz w:val="20"/>
          <w:u w:val="single"/>
        </w:rPr>
        <w:t>HF</w:t>
      </w:r>
      <w:r>
        <w:rPr>
          <w:rFonts w:ascii="Times New Roman;Times;Serif" w:hAnsi="Times New Roman;Times;Serif"/>
          <w:b w:val="false"/>
          <w:i w:val="false"/>
          <w:caps w:val="false"/>
          <w:smallCaps w:val="false"/>
          <w:sz w:val="20"/>
        </w:rPr>
        <w:t>”), B&amp;R GLOBAL HOLDINGS, INC., a Delaware corporation (“</w:t>
      </w:r>
      <w:r>
        <w:rPr>
          <w:rFonts w:ascii="Times New Roman;Times;Serif" w:hAnsi="Times New Roman;Times;Serif"/>
          <w:b w:val="false"/>
          <w:i w:val="false"/>
          <w:caps w:val="false"/>
          <w:smallCaps w:val="false"/>
          <w:sz w:val="20"/>
          <w:u w:val="single"/>
        </w:rPr>
        <w:t>B&amp;R</w:t>
      </w:r>
      <w:r>
        <w:rPr>
          <w:rFonts w:ascii="Times New Roman;Times;Serif" w:hAnsi="Times New Roman;Times;Serif"/>
          <w:b w:val="false"/>
          <w:i w:val="false"/>
          <w:caps w:val="false"/>
          <w:smallCaps w:val="false"/>
          <w:sz w:val="20"/>
        </w:rPr>
        <w:t>”), RONGCHENG TRADING, LLC, a California limited liability company (“</w:t>
      </w:r>
      <w:r>
        <w:rPr>
          <w:rFonts w:ascii="Times New Roman;Times;Serif" w:hAnsi="Times New Roman;Times;Serif"/>
          <w:b w:val="false"/>
          <w:i w:val="false"/>
          <w:caps w:val="false"/>
          <w:smallCaps w:val="false"/>
          <w:sz w:val="20"/>
          <w:u w:val="single"/>
        </w:rPr>
        <w:t>Rongcheng</w:t>
      </w:r>
      <w:r>
        <w:rPr>
          <w:rFonts w:ascii="Times New Roman;Times;Serif" w:hAnsi="Times New Roman;Times;Serif"/>
          <w:b w:val="false"/>
          <w:i w:val="false"/>
          <w:caps w:val="false"/>
          <w:smallCaps w:val="false"/>
          <w:sz w:val="20"/>
        </w:rPr>
        <w:t>”), CAPITAL TRADING, LLC, a Utah limited liability company (“</w:t>
      </w:r>
      <w:r>
        <w:rPr>
          <w:rFonts w:ascii="Times New Roman;Times;Serif" w:hAnsi="Times New Roman;Times;Serif"/>
          <w:b w:val="false"/>
          <w:i w:val="false"/>
          <w:caps w:val="false"/>
          <w:smallCaps w:val="false"/>
          <w:sz w:val="20"/>
          <w:u w:val="single"/>
        </w:rPr>
        <w:t>Capital</w:t>
      </w:r>
      <w:r>
        <w:rPr>
          <w:rFonts w:ascii="Times New Roman;Times;Serif" w:hAnsi="Times New Roman;Times;Serif"/>
          <w:b w:val="false"/>
          <w:i w:val="false"/>
          <w:caps w:val="false"/>
          <w:smallCaps w:val="false"/>
          <w:sz w:val="20"/>
        </w:rPr>
        <w:t>”), WIN WOO TRADING, LLC, a California limited liability company (“</w:t>
      </w:r>
      <w:r>
        <w:rPr>
          <w:rFonts w:ascii="Times New Roman;Times;Serif" w:hAnsi="Times New Roman;Times;Serif"/>
          <w:b w:val="false"/>
          <w:i w:val="false"/>
          <w:caps w:val="false"/>
          <w:smallCaps w:val="false"/>
          <w:sz w:val="20"/>
          <w:u w:val="single"/>
        </w:rPr>
        <w:t>Win Woo</w:t>
      </w:r>
      <w:r>
        <w:rPr>
          <w:rFonts w:ascii="Times New Roman;Times;Serif" w:hAnsi="Times New Roman;Times;Serif"/>
          <w:b w:val="false"/>
          <w:i w:val="false"/>
          <w:caps w:val="false"/>
          <w:smallCaps w:val="false"/>
          <w:sz w:val="20"/>
        </w:rPr>
        <w:t>”), R &amp; C TRADING L.L.C., an Arizona limited liability company (“</w:t>
      </w:r>
      <w:r>
        <w:rPr>
          <w:rFonts w:ascii="Times New Roman;Times;Serif" w:hAnsi="Times New Roman;Times;Serif"/>
          <w:b w:val="false"/>
          <w:i w:val="false"/>
          <w:caps w:val="false"/>
          <w:smallCaps w:val="false"/>
          <w:sz w:val="20"/>
          <w:u w:val="single"/>
        </w:rPr>
        <w:t>R &amp; C</w:t>
      </w:r>
      <w:r>
        <w:rPr>
          <w:rFonts w:ascii="Times New Roman;Times;Serif" w:hAnsi="Times New Roman;Times;Serif"/>
          <w:b w:val="false"/>
          <w:i w:val="false"/>
          <w:caps w:val="false"/>
          <w:smallCaps w:val="false"/>
          <w:sz w:val="20"/>
        </w:rPr>
        <w:t>”), GREAT WALL SEAFOOD LA, LLC, a California limited liability company (“</w:t>
      </w:r>
      <w:r>
        <w:rPr>
          <w:rFonts w:ascii="Times New Roman;Times;Serif" w:hAnsi="Times New Roman;Times;Serif"/>
          <w:b w:val="false"/>
          <w:i w:val="false"/>
          <w:caps w:val="false"/>
          <w:smallCaps w:val="false"/>
          <w:sz w:val="20"/>
          <w:u w:val="single"/>
        </w:rPr>
        <w:t>Great Wall</w:t>
      </w:r>
      <w:r>
        <w:rPr>
          <w:rFonts w:ascii="Times New Roman;Times;Serif" w:hAnsi="Times New Roman;Times;Serif"/>
          <w:b w:val="false"/>
          <w:i w:val="false"/>
          <w:caps w:val="false"/>
          <w:smallCaps w:val="false"/>
          <w:sz w:val="20"/>
        </w:rPr>
        <w:t>”), B &amp; L TRADING, LLC, a Washington limited liability company (“</w:t>
      </w:r>
      <w:r>
        <w:rPr>
          <w:rFonts w:ascii="Times New Roman;Times;Serif" w:hAnsi="Times New Roman;Times;Serif"/>
          <w:b w:val="false"/>
          <w:i w:val="false"/>
          <w:caps w:val="false"/>
          <w:smallCaps w:val="false"/>
          <w:sz w:val="20"/>
          <w:u w:val="single"/>
        </w:rPr>
        <w:t>B &amp; L</w:t>
      </w:r>
      <w:r>
        <w:rPr>
          <w:rFonts w:ascii="Times New Roman;Times;Serif" w:hAnsi="Times New Roman;Times;Serif"/>
          <w:b w:val="false"/>
          <w:i w:val="false"/>
          <w:caps w:val="false"/>
          <w:smallCaps w:val="false"/>
          <w:sz w:val="20"/>
        </w:rPr>
        <w:t>”), MOUNTAIN FOOD, LLC, a Colorado limited liability company (“</w:t>
      </w:r>
      <w:r>
        <w:rPr>
          <w:rFonts w:ascii="Times New Roman;Times;Serif" w:hAnsi="Times New Roman;Times;Serif"/>
          <w:b w:val="false"/>
          <w:i w:val="false"/>
          <w:caps w:val="false"/>
          <w:smallCaps w:val="false"/>
          <w:sz w:val="20"/>
          <w:u w:val="single"/>
        </w:rPr>
        <w:t>Mountain</w:t>
      </w:r>
      <w:r>
        <w:rPr>
          <w:rFonts w:ascii="Times New Roman;Times;Serif" w:hAnsi="Times New Roman;Times;Serif"/>
          <w:b w:val="false"/>
          <w:i w:val="false"/>
          <w:caps w:val="false"/>
          <w:smallCaps w:val="false"/>
          <w:sz w:val="20"/>
        </w:rPr>
        <w:t>”), MIN FOOD INC., a California corporation (“</w:t>
      </w:r>
      <w:r>
        <w:rPr>
          <w:rFonts w:ascii="Times New Roman;Times;Serif" w:hAnsi="Times New Roman;Times;Serif"/>
          <w:b w:val="false"/>
          <w:i w:val="false"/>
          <w:caps w:val="false"/>
          <w:smallCaps w:val="false"/>
          <w:sz w:val="20"/>
          <w:u w:val="single"/>
        </w:rPr>
        <w:t>Min Food</w:t>
      </w:r>
      <w:r>
        <w:rPr>
          <w:rFonts w:ascii="Times New Roman;Times;Serif" w:hAnsi="Times New Roman;Times;Serif"/>
          <w:b w:val="false"/>
          <w:i w:val="false"/>
          <w:caps w:val="false"/>
          <w:smallCaps w:val="false"/>
          <w:sz w:val="20"/>
        </w:rPr>
        <w:t>”), MONTEREY FOOD SERVICE, LLC, a California limited liability company (“</w:t>
      </w:r>
      <w:r>
        <w:rPr>
          <w:rFonts w:ascii="Times New Roman;Times;Serif" w:hAnsi="Times New Roman;Times;Serif"/>
          <w:b w:val="false"/>
          <w:i w:val="false"/>
          <w:caps w:val="false"/>
          <w:smallCaps w:val="false"/>
          <w:sz w:val="20"/>
          <w:u w:val="single"/>
        </w:rPr>
        <w:t>Monterey</w:t>
      </w:r>
      <w:r>
        <w:rPr>
          <w:rFonts w:ascii="Times New Roman;Times;Serif" w:hAnsi="Times New Roman;Times;Serif"/>
          <w:b w:val="false"/>
          <w:i w:val="false"/>
          <w:caps w:val="false"/>
          <w:smallCaps w:val="false"/>
          <w:sz w:val="20"/>
        </w:rPr>
        <w:t>”), HAN FENG, INC., a North Carolina corporation (“</w:t>
      </w:r>
      <w:r>
        <w:rPr>
          <w:rFonts w:ascii="Times New Roman;Times;Serif" w:hAnsi="Times New Roman;Times;Serif"/>
          <w:b w:val="false"/>
          <w:i w:val="false"/>
          <w:caps w:val="false"/>
          <w:smallCaps w:val="false"/>
          <w:sz w:val="20"/>
          <w:u w:val="single"/>
        </w:rPr>
        <w:t>Han Feng</w:t>
      </w:r>
      <w:r>
        <w:rPr>
          <w:rFonts w:ascii="Times New Roman;Times;Serif" w:hAnsi="Times New Roman;Times;Serif"/>
          <w:b w:val="false"/>
          <w:i w:val="false"/>
          <w:caps w:val="false"/>
          <w:smallCaps w:val="false"/>
          <w:sz w:val="20"/>
        </w:rPr>
        <w:t>”), NEW SOUTHERN FOOD DISTRIBUTORS, INC., a Florida corporation (“</w:t>
      </w:r>
      <w:r>
        <w:rPr>
          <w:rFonts w:ascii="Times New Roman;Times;Serif" w:hAnsi="Times New Roman;Times;Serif"/>
          <w:b w:val="false"/>
          <w:i w:val="false"/>
          <w:caps w:val="false"/>
          <w:smallCaps w:val="false"/>
          <w:sz w:val="20"/>
          <w:u w:val="single"/>
        </w:rPr>
        <w:t>NSFD</w:t>
      </w:r>
      <w:r>
        <w:rPr>
          <w:rFonts w:ascii="Times New Roman;Times;Serif" w:hAnsi="Times New Roman;Times;Serif"/>
          <w:b w:val="false"/>
          <w:i w:val="false"/>
          <w:caps w:val="false"/>
          <w:smallCaps w:val="false"/>
          <w:sz w:val="20"/>
        </w:rPr>
        <w:t>”), KIRNLAND FOOD DISTRIBUTION, INC., a Georgia corporation (“</w:t>
      </w:r>
      <w:r>
        <w:rPr>
          <w:rFonts w:ascii="Times New Roman;Times;Serif" w:hAnsi="Times New Roman;Times;Serif"/>
          <w:b w:val="false"/>
          <w:i w:val="false"/>
          <w:caps w:val="false"/>
          <w:smallCaps w:val="false"/>
          <w:sz w:val="20"/>
          <w:u w:val="single"/>
        </w:rPr>
        <w:t>Kirnland</w:t>
      </w:r>
      <w:r>
        <w:rPr>
          <w:rFonts w:ascii="Times New Roman;Times;Serif" w:hAnsi="Times New Roman;Times;Serif"/>
          <w:b w:val="false"/>
          <w:i w:val="false"/>
          <w:caps w:val="false"/>
          <w:smallCaps w:val="false"/>
          <w:sz w:val="20"/>
        </w:rPr>
        <w:t>”), GREAT WALL SEAFOOD IL, L.L.C., an Illinois limited liability company (“</w:t>
      </w:r>
      <w:r>
        <w:rPr>
          <w:rFonts w:ascii="Times New Roman;Times;Serif" w:hAnsi="Times New Roman;Times;Serif"/>
          <w:b w:val="false"/>
          <w:i w:val="false"/>
          <w:caps w:val="false"/>
          <w:smallCaps w:val="false"/>
          <w:sz w:val="20"/>
          <w:u w:val="single"/>
        </w:rPr>
        <w:t>Great Wall IL</w:t>
      </w:r>
      <w:r>
        <w:rPr>
          <w:rFonts w:ascii="Times New Roman;Times;Serif" w:hAnsi="Times New Roman;Times;Serif"/>
          <w:b w:val="false"/>
          <w:i w:val="false"/>
          <w:caps w:val="false"/>
          <w:smallCaps w:val="false"/>
          <w:sz w:val="20"/>
        </w:rPr>
        <w:t>”), GREAT WALL SEAFOOD TX, L.L.C., a Texas limited liability company (“</w:t>
      </w:r>
      <w:r>
        <w:rPr>
          <w:rFonts w:ascii="Times New Roman;Times;Serif" w:hAnsi="Times New Roman;Times;Serif"/>
          <w:b w:val="false"/>
          <w:i w:val="false"/>
          <w:caps w:val="false"/>
          <w:smallCaps w:val="false"/>
          <w:sz w:val="20"/>
          <w:u w:val="single"/>
        </w:rPr>
        <w:t>Great Wall TX</w:t>
      </w:r>
      <w:r>
        <w:rPr>
          <w:rFonts w:ascii="Times New Roman;Times;Serif" w:hAnsi="Times New Roman;Times;Serif"/>
          <w:b w:val="false"/>
          <w:i w:val="false"/>
          <w:caps w:val="false"/>
          <w:smallCaps w:val="false"/>
          <w:sz w:val="20"/>
        </w:rPr>
        <w:t>”), SUNFLOWER 2.0, LLC, a Kansas limited liability company (“</w:t>
      </w:r>
      <w:r>
        <w:rPr>
          <w:rFonts w:ascii="Times New Roman;Times;Serif" w:hAnsi="Times New Roman;Times;Serif"/>
          <w:b w:val="false"/>
          <w:i w:val="false"/>
          <w:caps w:val="false"/>
          <w:smallCaps w:val="false"/>
          <w:sz w:val="20"/>
          <w:u w:val="single"/>
        </w:rPr>
        <w:t>Sunflower</w:t>
      </w:r>
      <w:r>
        <w:rPr>
          <w:rFonts w:ascii="Times New Roman;Times;Serif" w:hAnsi="Times New Roman;Times;Serif"/>
          <w:b w:val="false"/>
          <w:i w:val="false"/>
          <w:caps w:val="false"/>
          <w:smallCaps w:val="false"/>
          <w:sz w:val="20"/>
        </w:rPr>
        <w:t>”), HF CHARLOTTE, LLC, a North Carolina limited liability company (“</w:t>
      </w:r>
      <w:r>
        <w:rPr>
          <w:rFonts w:ascii="Times New Roman;Times;Serif" w:hAnsi="Times New Roman;Times;Serif"/>
          <w:b w:val="false"/>
          <w:i w:val="false"/>
          <w:caps w:val="false"/>
          <w:smallCaps w:val="false"/>
          <w:sz w:val="20"/>
          <w:u w:val="single"/>
        </w:rPr>
        <w:t>HF Charlotte</w:t>
      </w:r>
      <w:r>
        <w:rPr>
          <w:rFonts w:ascii="Times New Roman;Times;Serif" w:hAnsi="Times New Roman;Times;Serif"/>
          <w:b w:val="false"/>
          <w:i w:val="false"/>
          <w:caps w:val="false"/>
          <w:smallCaps w:val="false"/>
          <w:sz w:val="20"/>
        </w:rPr>
        <w:t>”), T&amp;G Group, LLC, a California limited liability company (“</w:t>
      </w:r>
      <w:r>
        <w:rPr>
          <w:rFonts w:ascii="Times New Roman;Times;Serif" w:hAnsi="Times New Roman;Times;Serif"/>
          <w:b w:val="false"/>
          <w:i w:val="false"/>
          <w:caps w:val="false"/>
          <w:smallCaps w:val="false"/>
          <w:sz w:val="20"/>
          <w:u w:val="single"/>
        </w:rPr>
        <w:t>T&amp;G Group</w:t>
      </w:r>
      <w:r>
        <w:rPr>
          <w:rFonts w:ascii="Times New Roman;Times;Serif" w:hAnsi="Times New Roman;Times;Serif"/>
          <w:b w:val="false"/>
          <w:i w:val="false"/>
          <w:caps w:val="false"/>
          <w:smallCaps w:val="false"/>
          <w:sz w:val="20"/>
        </w:rPr>
        <w:t>” ), HF ATLANTA, LLC, a Georgia limited liability company (“</w:t>
      </w:r>
      <w:r>
        <w:rPr>
          <w:rFonts w:ascii="Times New Roman;Times;Serif" w:hAnsi="Times New Roman;Times;Serif"/>
          <w:b w:val="false"/>
          <w:i w:val="false"/>
          <w:caps w:val="false"/>
          <w:smallCaps w:val="false"/>
          <w:sz w:val="20"/>
          <w:u w:val="single"/>
        </w:rPr>
        <w:t>HF Atlanta</w:t>
      </w:r>
      <w:r>
        <w:rPr>
          <w:rFonts w:ascii="Times New Roman;Times;Serif" w:hAnsi="Times New Roman;Times;Serif"/>
          <w:b w:val="false"/>
          <w:i w:val="false"/>
          <w:caps w:val="false"/>
          <w:smallCaps w:val="false"/>
          <w:sz w:val="20"/>
        </w:rPr>
        <w:t>”), GREAT WALL SEAFOOD VA, L.L.C., a Virginia limited liability company (“</w:t>
      </w:r>
      <w:r>
        <w:rPr>
          <w:rFonts w:ascii="Times New Roman;Times;Serif" w:hAnsi="Times New Roman;Times;Serif"/>
          <w:b w:val="false"/>
          <w:i w:val="false"/>
          <w:caps w:val="false"/>
          <w:smallCaps w:val="false"/>
          <w:sz w:val="20"/>
          <w:u w:val="single"/>
        </w:rPr>
        <w:t>Great Wall VA</w:t>
      </w:r>
      <w:r>
        <w:rPr>
          <w:rFonts w:ascii="Times New Roman;Times;Serif" w:hAnsi="Times New Roman;Times;Serif"/>
          <w:b w:val="false"/>
          <w:i w:val="false"/>
          <w:caps w:val="false"/>
          <w:smallCaps w:val="false"/>
          <w:sz w:val="20"/>
        </w:rPr>
        <w:t>”; HF, B&amp;R, Rongcheng, Capital, Win Woo, R &amp; C, Great Wall, B &amp; L, Mountain, Min Food, Monterey, Han Feng, NSFD, Kirnland, Great Wall IL, Great Wall TX, Sunflower, HF Charlotte, T&amp;G Group, HF Atlanta and Great Wall VA are collectively referred to as the “</w:t>
      </w:r>
      <w:r>
        <w:rPr>
          <w:rFonts w:ascii="Times New Roman;Times;Serif" w:hAnsi="Times New Roman;Times;Serif"/>
          <w:b w:val="false"/>
          <w:i w:val="false"/>
          <w:caps w:val="false"/>
          <w:smallCaps w:val="false"/>
          <w:sz w:val="20"/>
          <w:u w:val="single"/>
        </w:rPr>
        <w:t>Working Capital Borrowers</w:t>
      </w:r>
      <w:r>
        <w:rPr>
          <w:rFonts w:ascii="Times New Roman;Times;Serif" w:hAnsi="Times New Roman;Times;Serif"/>
          <w:b w:val="false"/>
          <w:i w:val="false"/>
          <w:caps w:val="false"/>
          <w:smallCaps w:val="false"/>
          <w:sz w:val="20"/>
        </w:rPr>
        <w:t>”), B &amp; R REALTY, LLC, a California limited liability company (“</w:t>
      </w:r>
      <w:r>
        <w:rPr>
          <w:rFonts w:ascii="Times New Roman;Times;Serif" w:hAnsi="Times New Roman;Times;Serif"/>
          <w:b w:val="false"/>
          <w:i w:val="false"/>
          <w:caps w:val="false"/>
          <w:smallCaps w:val="false"/>
          <w:sz w:val="20"/>
          <w:u w:val="single"/>
        </w:rPr>
        <w:t>Realty</w:t>
      </w:r>
      <w:r>
        <w:rPr>
          <w:rFonts w:ascii="Times New Roman;Times;Serif" w:hAnsi="Times New Roman;Times;Serif"/>
          <w:b w:val="false"/>
          <w:i w:val="false"/>
          <w:caps w:val="false"/>
          <w:smallCaps w:val="false"/>
          <w:sz w:val="20"/>
        </w:rPr>
        <w:t>”), LUCKY REALTY, LLC, a California limited liability company (“</w:t>
      </w:r>
      <w:r>
        <w:rPr>
          <w:rFonts w:ascii="Times New Roman;Times;Serif" w:hAnsi="Times New Roman;Times;Serif"/>
          <w:b w:val="false"/>
          <w:i w:val="false"/>
          <w:caps w:val="false"/>
          <w:smallCaps w:val="false"/>
          <w:sz w:val="20"/>
          <w:u w:val="single"/>
        </w:rPr>
        <w:t>Lucky</w:t>
      </w:r>
      <w:r>
        <w:rPr>
          <w:rFonts w:ascii="Times New Roman;Times;Serif" w:hAnsi="Times New Roman;Times;Serif"/>
          <w:b w:val="false"/>
          <w:i w:val="false"/>
          <w:caps w:val="false"/>
          <w:smallCaps w:val="false"/>
          <w:sz w:val="20"/>
        </w:rPr>
        <w:t>”), GENSTAR REALTY, LLC, a California limited liability company (“</w:t>
      </w:r>
      <w:r>
        <w:rPr>
          <w:rFonts w:ascii="Times New Roman;Times;Serif" w:hAnsi="Times New Roman;Times;Serif"/>
          <w:b w:val="false"/>
          <w:i w:val="false"/>
          <w:caps w:val="false"/>
          <w:smallCaps w:val="false"/>
          <w:sz w:val="20"/>
          <w:u w:val="single"/>
        </w:rPr>
        <w:t>Genstar</w:t>
      </w:r>
      <w:r>
        <w:rPr>
          <w:rFonts w:ascii="Times New Roman;Times;Serif" w:hAnsi="Times New Roman;Times;Serif"/>
          <w:b w:val="false"/>
          <w:i w:val="false"/>
          <w:caps w:val="false"/>
          <w:smallCaps w:val="false"/>
          <w:sz w:val="20"/>
        </w:rPr>
        <w:t>”), MURRAY PROPERTIES, LLC, a Utah limited liability company (“</w:t>
      </w:r>
      <w:r>
        <w:rPr>
          <w:rFonts w:ascii="Times New Roman;Times;Serif" w:hAnsi="Times New Roman;Times;Serif"/>
          <w:b w:val="false"/>
          <w:i w:val="false"/>
          <w:caps w:val="false"/>
          <w:smallCaps w:val="false"/>
          <w:sz w:val="20"/>
          <w:u w:val="single"/>
        </w:rPr>
        <w:t>Murray</w:t>
      </w:r>
      <w:r>
        <w:rPr>
          <w:rFonts w:ascii="Times New Roman;Times;Serif" w:hAnsi="Times New Roman;Times;Serif"/>
          <w:b w:val="false"/>
          <w:i w:val="false"/>
          <w:caps w:val="false"/>
          <w:smallCaps w:val="false"/>
          <w:sz w:val="20"/>
        </w:rPr>
        <w:t>”), FORTUNE LIBERTY, LLC, a Utah limited liability company (“</w:t>
      </w:r>
      <w:r>
        <w:rPr>
          <w:rFonts w:ascii="Times New Roman;Times;Serif" w:hAnsi="Times New Roman;Times;Serif"/>
          <w:b w:val="false"/>
          <w:i w:val="false"/>
          <w:caps w:val="false"/>
          <w:smallCaps w:val="false"/>
          <w:sz w:val="20"/>
          <w:u w:val="single"/>
        </w:rPr>
        <w:t>Fortune</w:t>
      </w:r>
      <w:r>
        <w:rPr>
          <w:rFonts w:ascii="Times New Roman;Times;Serif" w:hAnsi="Times New Roman;Times;Serif"/>
          <w:b w:val="false"/>
          <w:i w:val="false"/>
          <w:caps w:val="false"/>
          <w:smallCaps w:val="false"/>
          <w:sz w:val="20"/>
        </w:rPr>
        <w:t>”), A &amp; KIE, LLC, an Arizona limited liability company(“</w:t>
      </w:r>
      <w:r>
        <w:rPr>
          <w:rFonts w:ascii="Times New Roman;Times;Serif" w:hAnsi="Times New Roman;Times;Serif"/>
          <w:b w:val="false"/>
          <w:i w:val="false"/>
          <w:caps w:val="false"/>
          <w:smallCaps w:val="false"/>
          <w:sz w:val="20"/>
          <w:u w:val="single"/>
        </w:rPr>
        <w:t>A &amp; Kie</w:t>
      </w:r>
      <w:r>
        <w:rPr>
          <w:rFonts w:ascii="Times New Roman;Times;Serif" w:hAnsi="Times New Roman;Times;Serif"/>
          <w:b w:val="false"/>
          <w:i w:val="false"/>
          <w:caps w:val="false"/>
          <w:smallCaps w:val="false"/>
          <w:sz w:val="20"/>
        </w:rPr>
        <w:t>”), LENFA FOOD, LLC, a Colorado limited liability company (“</w:t>
      </w:r>
      <w:r>
        <w:rPr>
          <w:rFonts w:ascii="Times New Roman;Times;Serif" w:hAnsi="Times New Roman;Times;Serif"/>
          <w:b w:val="false"/>
          <w:i w:val="false"/>
          <w:caps w:val="false"/>
          <w:smallCaps w:val="false"/>
          <w:sz w:val="20"/>
          <w:u w:val="single"/>
        </w:rPr>
        <w:t>Lenfa</w:t>
      </w:r>
      <w:r>
        <w:rPr>
          <w:rFonts w:ascii="Times New Roman;Times;Serif" w:hAnsi="Times New Roman;Times;Serif"/>
          <w:b w:val="false"/>
          <w:i w:val="false"/>
          <w:caps w:val="false"/>
          <w:smallCaps w:val="false"/>
          <w:sz w:val="20"/>
        </w:rPr>
        <w:t>”), BIG SEA REALTY, LLC, a Washington limited liability company (“</w:t>
      </w:r>
      <w:r>
        <w:rPr>
          <w:rFonts w:ascii="Times New Roman;Times;Serif" w:hAnsi="Times New Roman;Times;Serif"/>
          <w:b w:val="false"/>
          <w:i w:val="false"/>
          <w:caps w:val="false"/>
          <w:smallCaps w:val="false"/>
          <w:sz w:val="20"/>
          <w:u w:val="single"/>
        </w:rPr>
        <w:t>Big Sea</w:t>
      </w:r>
      <w:r>
        <w:rPr>
          <w:rFonts w:ascii="Times New Roman;Times;Serif" w:hAnsi="Times New Roman;Times;Serif"/>
          <w:b w:val="false"/>
          <w:i w:val="false"/>
          <w:caps w:val="false"/>
          <w:smallCaps w:val="false"/>
          <w:sz w:val="20"/>
        </w:rPr>
        <w:t>” ), R &amp; N CHARLOTTE, L.L.C., a North Carolina limited liability company (“RN Charlotte”), and R &amp; N HOLDINGS, L.L.C., a North Carolina limited liability company (“</w:t>
      </w:r>
      <w:r>
        <w:rPr>
          <w:rFonts w:ascii="Times New Roman;Times;Serif" w:hAnsi="Times New Roman;Times;Serif"/>
          <w:b w:val="false"/>
          <w:i w:val="false"/>
          <w:caps w:val="false"/>
          <w:smallCaps w:val="false"/>
          <w:sz w:val="20"/>
          <w:u w:val="single"/>
        </w:rPr>
        <w:t>RN Holdings</w:t>
      </w:r>
      <w:r>
        <w:rPr>
          <w:rFonts w:ascii="Times New Roman;Times;Serif" w:hAnsi="Times New Roman;Times;Serif"/>
          <w:b w:val="false"/>
          <w:i w:val="false"/>
          <w:caps w:val="false"/>
          <w:smallCaps w:val="false"/>
          <w:sz w:val="20"/>
        </w:rPr>
        <w:t>”; Realty, Lucky, Genstar, Murray, Fortune, A &amp; Kie, Lenfa, Big Sea, RN Charlotte, RN Holdings, Great Wall IL and NSFD are collectively referred to as the “</w:t>
      </w:r>
      <w:r>
        <w:rPr>
          <w:rFonts w:ascii="Times New Roman;Times;Serif" w:hAnsi="Times New Roman;Times;Serif"/>
          <w:b w:val="false"/>
          <w:i w:val="false"/>
          <w:caps w:val="false"/>
          <w:smallCaps w:val="false"/>
          <w:sz w:val="20"/>
          <w:u w:val="single"/>
        </w:rPr>
        <w:t>Real Estate Borrowers</w:t>
      </w:r>
      <w:r>
        <w:rPr>
          <w:rFonts w:ascii="Times New Roman;Times;Serif" w:hAnsi="Times New Roman;Times;Serif"/>
          <w:b w:val="false"/>
          <w:i w:val="false"/>
          <w:caps w:val="false"/>
          <w:smallCaps w:val="false"/>
          <w:sz w:val="20"/>
        </w:rPr>
        <w:t>”; the Working Capital Borrowers and the Real Estate Borrowers, each a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party hereto (which constitute Required Lenders) and JPMORGAN CHASE BANK, N.A., as administrative agent for the Lenders (in such capacity,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Borrowers, the other Loan Parties party thereto, the Lenders party thereto and Administrative Agent are parties to that certain Third Amended and Restated Credit Agreement dated as of March 31, 2022 (as amended, restated,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capitalized terms used herein but not otherwise defined shall have the meanings set forth in the Credit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consummation of the Searay Acquisition on the Searay Acquisition Consummation Date, Searay and any Subsidiary formed or acquired in connection with the Searay Acquisition, are required pursuant to Section 5.14(b) of the Credit Agreement to become parties to the Credit Agreement and, in connection therewith, to execute and deliver the applicable Loan Documents and grant the required Liens in favor of Administrative Agent for the benefit of the Secured Parties (the “</w:t>
      </w:r>
      <w:r>
        <w:rPr>
          <w:rFonts w:ascii="Times New Roman;Times;Serif" w:hAnsi="Times New Roman;Times;Serif"/>
          <w:b w:val="false"/>
          <w:i w:val="false"/>
          <w:caps w:val="false"/>
          <w:smallCaps w:val="false"/>
          <w:sz w:val="20"/>
          <w:u w:val="single"/>
        </w:rPr>
        <w:t>Searay Joinder</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Borrowers have requested that Administrative Agent and Required Lenders consent to the Searay Joinder occurring within five (5) Business Days following the Searay Acquisition Consummation Date, or such later date as may be agreed to by Administrative Agent in its sole discretion (the “</w:t>
      </w:r>
      <w:r>
        <w:rPr>
          <w:rFonts w:ascii="Times New Roman;Times;Serif" w:hAnsi="Times New Roman;Times;Serif"/>
          <w:b w:val="false"/>
          <w:i w:val="false"/>
          <w:caps w:val="false"/>
          <w:smallCaps w:val="false"/>
          <w:sz w:val="20"/>
          <w:u w:val="single"/>
        </w:rPr>
        <w:t>Searay Joinder Date</w:t>
      </w:r>
      <w:r>
        <w:rPr>
          <w:rFonts w:ascii="Times New Roman;Times;Serif" w:hAnsi="Times New Roman;Times;Serif"/>
          <w:b w:val="false"/>
          <w:i w:val="false"/>
          <w:caps w:val="false"/>
          <w:smallCaps w:val="false"/>
          <w:sz w:val="20"/>
        </w:rPr>
        <w:t>”), rather than immediately upon consummation of the Searay Acquisition;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conditions and agreements set forth in the Credit Agreement and this Consent, and other good and valuable consideration, the receipt and sufficiency of which are hereby acknowledged, the parties hereto hereby agree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Consents</w:t>
      </w:r>
      <w:r>
        <w:rPr>
          <w:rFonts w:ascii="Times New Roman;Times;Serif" w:hAnsi="Times New Roman;Times;Serif"/>
          <w:b w:val="false"/>
          <w:i w:val="false"/>
          <w:caps w:val="false"/>
          <w:smallCaps w:val="false"/>
          <w:sz w:val="20"/>
        </w:rPr>
        <w:t xml:space="preserve">. Notwithstanding any provision in the Credit Agreement, Security Agreement or any other Loan Document to the contrary, subject to the satisfaction of the conditions precedent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below, and in reliance on the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below, Administrative Agent and Required Lenders hereby consent to the Searay Joinder occurring on the Searay Joinder Date. The foregoing is a limited consent and, other than as expressly set forth herein, shall not constitute (i) a modification or alteration of the terms, conditions or covenants of the Credit Agreement, or any other Loan Document or (ii) a waiver, release or limitation upon the exercise by Administrative Agent and/or the Lenders of any of their rights, legal or equitable thereunder. It is agreed and understood by the parties that if the Searay Joinder does not occur by the Searay Joinder Date, such failure shall constitute an immediate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u w:val="single"/>
        </w:rPr>
        <w:t>Release of Searay Acquisition Reserve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Administrative Agent hereby agrees that, upon consummation of the Searay Acquisition, the Searay Acquisition Reserve shall be released in accordance with the terms of the Credit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u w:val="single"/>
        </w:rPr>
        <w:t>Conditions to Effectiveness</w:t>
      </w:r>
      <w:r>
        <w:rPr>
          <w:rFonts w:ascii="Times New Roman;Times;Serif" w:hAnsi="Times New Roman;Times;Serif"/>
          <w:b w:val="false"/>
          <w:i w:val="false"/>
          <w:caps w:val="false"/>
          <w:smallCaps w:val="false"/>
          <w:sz w:val="20"/>
        </w:rPr>
        <w:t xml:space="preserve">. The effectiveness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Consent is subject to the following conditions precedent: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Administrative Agent shall have received a fully executed copy of this Consent executed by each Borrower, Administrative Agent and Required Lenders;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or Event of Default shall have occurred and be continuing or shall be caused by the transactions contemplated by, or after giving effect to, this Consent.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To induce Administrative Agent and the Lenders to enter into this Consent, each of the Borrowers hereby represents and warrants to Administrative Agent and the Lenders that: (i) the execution, delivery and performance of this Consent has been duly authorized by all requisite action on the part of such Person and this Consent has been duly executed and delivered by such Person; (ii) immediately before and after giving effect to the consummation of the transactions contemplated by this Consent, each of the representations and warranties of the Loan Parties set forth in the Credit Agreement and each of the other Loan Documents are true and correct in all material respects (except that such materiality qualifier shall not be applicable to any representations and warranties that already are qualified or modified by materiality in the text thereof) as of the date hereof (except to the extent they relate to an earlier date, in which case they shall have been true and correct in all material respects (except that such materiality qualifier shall not be applicable to any representations and warranties that already are qualified or modified by materiality in the text thereof) as of such earlier date); and (iii) immediately before and after giving effect to this Consent, no Default or Event of Default has occurred and is continuing.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Release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consideration of the agreements of Administrative Agent and the Lenders contained herein and for other good and valuable consideration, the receipt and sufficiency of which is hereby acknowledged, each of the Borrowers, on behalf of itself and its successors, assigns, and other legal representatives (each such Loan Party and all such other Persons being hereafter referred to collectively as the “</w:t>
      </w:r>
      <w:r>
        <w:rPr>
          <w:rFonts w:ascii="Times New Roman;Times;Serif" w:hAnsi="Times New Roman;Times;Serif"/>
          <w:b w:val="false"/>
          <w:i w:val="false"/>
          <w:caps w:val="false"/>
          <w:smallCaps w:val="false"/>
          <w:sz w:val="20"/>
          <w:u w:val="single"/>
        </w:rPr>
        <w:t>Releasors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val="false"/>
          <w:i w:val="false"/>
          <w:caps w:val="false"/>
          <w:smallCaps w:val="false"/>
          <w:sz w:val="20"/>
          <w:u w:val="single"/>
        </w:rPr>
        <w:t>Releasor</w:t>
      </w:r>
      <w:r>
        <w:rPr>
          <w:rFonts w:ascii="Times New Roman;Times;Serif" w:hAnsi="Times New Roman;Times;Serif"/>
          <w:b w:val="false"/>
          <w:i w:val="false"/>
          <w:caps w:val="false"/>
          <w:smallCaps w:val="false"/>
          <w:sz w:val="20"/>
        </w:rPr>
        <w:t>”), hereby absolutely, unconditionally and irrevocably releases, remises and forever discharges Administrative Agent and the Lenders, and each of their successors and assigns, and each of their present and former shareholders, affiliates, subsidiaries, divisions, predecessors, directors, officers, attorneys, employees, agents, other representatives (Administrative Agent and the Lender and all such other Persons being hereinafter referred to collectively as the “</w:t>
      </w:r>
      <w:r>
        <w:rPr>
          <w:rFonts w:ascii="Times New Roman;Times;Serif" w:hAnsi="Times New Roman;Times;Serif"/>
          <w:b w:val="false"/>
          <w:i w:val="false"/>
          <w:caps w:val="false"/>
          <w:smallCaps w:val="false"/>
          <w:sz w:val="20"/>
          <w:u w:val="single"/>
        </w:rPr>
        <w:t>Releasees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val="false"/>
          <w:i w:val="false"/>
          <w:caps w:val="false"/>
          <w:smallCaps w:val="false"/>
          <w:sz w:val="20"/>
          <w:u w:val="single"/>
        </w:rPr>
        <w:t>Releasee</w:t>
      </w:r>
      <w:r>
        <w:rPr>
          <w:rFonts w:ascii="Times New Roman;Times;Serif" w:hAnsi="Times New Roman;Times;Serif"/>
          <w:b w:val="false"/>
          <w:i w:val="false"/>
          <w:caps w:val="false"/>
          <w:smallCaps w:val="false"/>
          <w:sz w:val="20"/>
        </w:rPr>
        <w:t>”), of and from all demands, actions, causes of action, suits, controversies, damages and any and all other claims, counterclaims, defenses, rights of set-off and liabilities whatsoever, including claims for breach of contract, (individually, a “</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and collectively,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of every name and nature, known or unknown, suspected or unsuspected, both at law and in equity, which any Releasor may now own, hold, have or claim to have against the Releasees or any of them for, upon, or by reason of any circumstance, action, cause or thing whatsoever which arises at any time on or prior to the day and date of this Consent for or on account of, or in relation to, or in any way in connection with the Credit Agreement or any of the other Loan Documents or transactions thereunder or related thereto; provided that nothing in this paragraph shall modify, amend, or terminate the Credit Agreement, any of the other Loan Documents, or any other contract or agreement to which a Releasor is a party or of which the Releasor is a beneficiary and further provided that nothing in this paragraph shall release, remise or discharge any Releasee from liability for future performance due under any such contracts or agreements or with respect to any demand deposit account.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Releasor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Releasor agrees that no fact, event, circumstance, evidence or transaction which could now be asserted or which may hereafter be discovered shall affect in any manner the final, absolute and unconditional nature of the release set forth above.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Consent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u w:val="single"/>
        </w:rPr>
        <w:t>References</w:t>
      </w:r>
      <w:r>
        <w:rPr>
          <w:rFonts w:ascii="Times New Roman;Times;Serif" w:hAnsi="Times New Roman;Times;Serif"/>
          <w:b w:val="false"/>
          <w:i w:val="false"/>
          <w:caps w:val="false"/>
          <w:smallCaps w:val="false"/>
          <w:sz w:val="20"/>
        </w:rPr>
        <w:t>. Any reference to the Credit Agreement contained in any Loan Document or any other document, instrument or agreement executed in connection with the Credit Agreement shall be deemed to be a reference to the Credit Agreement as modified by this Consent.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Consent may be executed in one or more counterparts, each of which shall constitute an original, but all of which taken together shall be one and the same instrument. Delivery by telecopy or electronic portable document format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“pdf”) transmission of executed signature pages hereof from one party hereto to another party hereto shall be deemed to constitute due execution and delivery by such party.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u w:val="single"/>
        </w:rPr>
        <w:t>Ratification</w:t>
      </w:r>
      <w:r>
        <w:rPr>
          <w:rFonts w:ascii="Times New Roman;Times;Serif" w:hAnsi="Times New Roman;Times;Serif"/>
          <w:b w:val="false"/>
          <w:i w:val="false"/>
          <w:caps w:val="false"/>
          <w:smallCaps w:val="false"/>
          <w:sz w:val="20"/>
        </w:rPr>
        <w:t>. The terms and provisions set forth in this Consent shall modify and supersede all inconsistent terms and provisions of the Credit Agreement and shall not be deemed to be a consent to the modification or waiver of any other term or condition of the Credit Agreement or any of the other Loan Documents. Except as expressly modified and superseded by this Consent, the terms and provisions of the Credit Agreement are ratified and confirmed and shall continue in full force and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Consent shall be governed by and construed in accordance with the internal laws (and not the law of conflicts) of the State of Illinois, but giving effect to federal laws applicable to national banks.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pages follow</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Consent to be duly executed and delivered by their respective duly authorized officers on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790" w:type="dxa"/>
        <w:jc w:val="left"/>
        <w:tblInd w:w="0" w:type="dxa"/>
        <w:tblLayout w:type="fixed"/>
        <w:tblCellMar>
          <w:top w:w="0" w:type="dxa"/>
          <w:left w:w="0" w:type="dxa"/>
          <w:bottom w:w="0" w:type="dxa"/>
          <w:right w:w="0" w:type="dxa"/>
        </w:tblCellMar>
      </w:tblPr>
      <w:tblGrid>
        <w:gridCol w:w="75"/>
        <w:gridCol w:w="1715"/>
      </w:tblGrid>
      <w:tr>
        <w:trPr/>
        <w:tc>
          <w:tcPr>
            <w:tcW w:w="7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both"/>
              <w:rPr>
                <w:b/>
              </w:rPr>
            </w:pPr>
            <w:r>
              <w:rPr>
                <w:b/>
              </w:rPr>
              <w:t>BORROWERS:</w:t>
            </w:r>
          </w:p>
        </w:tc>
      </w:tr>
    </w:tbl>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670" w:type="dxa"/>
        <w:jc w:val="left"/>
        <w:tblInd w:w="0" w:type="dxa"/>
        <w:tblLayout w:type="fixed"/>
        <w:tblCellMar>
          <w:top w:w="0" w:type="dxa"/>
          <w:left w:w="0" w:type="dxa"/>
          <w:bottom w:w="0" w:type="dxa"/>
          <w:right w:w="0" w:type="dxa"/>
        </w:tblCellMar>
      </w:tblPr>
      <w:tblGrid>
        <w:gridCol w:w="75"/>
        <w:gridCol w:w="1595"/>
      </w:tblGrid>
      <w:tr>
        <w:trPr/>
        <w:tc>
          <w:tcPr>
            <w:tcW w:w="7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both"/>
              <w:rPr>
                <w:b/>
              </w:rPr>
            </w:pPr>
            <w:r>
              <w:rPr>
                <w:b/>
              </w:rPr>
              <w:t>A &amp; KIE, LLC</w:t>
            </w:r>
          </w:p>
        </w:tc>
      </w:tr>
    </w:tbl>
    <w:tbl>
      <w:tblPr>
        <w:tblW w:w="2600" w:type="dxa"/>
        <w:jc w:val="left"/>
        <w:tblInd w:w="0" w:type="dxa"/>
        <w:tblLayout w:type="fixed"/>
        <w:tblCellMar>
          <w:top w:w="0" w:type="dxa"/>
          <w:left w:w="0" w:type="dxa"/>
          <w:bottom w:w="0" w:type="dxa"/>
          <w:right w:w="0" w:type="dxa"/>
        </w:tblCellMar>
      </w:tblPr>
      <w:tblGrid>
        <w:gridCol w:w="75"/>
        <w:gridCol w:w="2525"/>
      </w:tblGrid>
      <w:tr>
        <w:trPr/>
        <w:tc>
          <w:tcPr>
            <w:tcW w:w="7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both"/>
              <w:rPr/>
            </w:pPr>
            <w:r>
              <w:rPr>
                <w:b/>
              </w:rPr>
              <w:t>B &amp; L TRADING, LLC</w:t>
              <w:br/>
              <w:t>B &amp;</w:t>
            </w:r>
            <w:r>
              <w:rPr/>
              <w:t xml:space="preserve"> </w:t>
            </w:r>
            <w:r>
              <w:rPr>
                <w:b/>
              </w:rPr>
              <w:t>R REALTY, LLC</w:t>
            </w:r>
          </w:p>
        </w:tc>
      </w:tr>
    </w:tbl>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both"/>
              <w:rPr>
                <w:b/>
              </w:rPr>
            </w:pPr>
            <w:r>
              <w:rPr>
                <w:b/>
              </w:rPr>
              <w:t>B&amp;R GLOBAL HOLDINGS, INC.</w:t>
              <w:br/>
              <w:t xml:space="preserve">BIG SEA REALTY, LLC </w:t>
              <w:br/>
              <w:t xml:space="preserve">CAPITAL TRADING, LLC </w:t>
              <w:br/>
              <w:t>FORTUNE LIBERTY, LLC</w:t>
              <w:br/>
              <w:t>GENSTAR REALTY, LLC</w:t>
            </w:r>
          </w:p>
        </w:tc>
      </w:tr>
    </w:tbl>
    <w:tbl>
      <w:tblPr>
        <w:tblW w:w="4250" w:type="dxa"/>
        <w:jc w:val="left"/>
        <w:tblInd w:w="0" w:type="dxa"/>
        <w:tblLayout w:type="fixed"/>
        <w:tblCellMar>
          <w:top w:w="0" w:type="dxa"/>
          <w:left w:w="0" w:type="dxa"/>
          <w:bottom w:w="0" w:type="dxa"/>
          <w:right w:w="0" w:type="dxa"/>
        </w:tblCellMar>
      </w:tblPr>
      <w:tblGrid>
        <w:gridCol w:w="75"/>
        <w:gridCol w:w="4175"/>
      </w:tblGrid>
      <w:tr>
        <w:trPr/>
        <w:tc>
          <w:tcPr>
            <w:tcW w:w="7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both"/>
              <w:rPr/>
            </w:pPr>
            <w:r>
              <w:rPr>
                <w:b/>
              </w:rPr>
              <w:t>GREAT</w:t>
            </w:r>
            <w:r>
              <w:rPr/>
              <w:t xml:space="preserve"> </w:t>
            </w:r>
            <w:r>
              <w:rPr>
                <w:b/>
              </w:rPr>
              <w:t>WALL SEAFOOD IL, L.L.C.</w:t>
              <w:br/>
              <w:t xml:space="preserve">GREAT WALL SEAFOOD LA, LLC </w:t>
              <w:br/>
              <w:t>GREAT WALL SEAFOOD TX, L.L.C.</w:t>
              <w:br/>
              <w:t>GREAT WALL SEAFOOD VA, L.L.C.</w:t>
              <w:br/>
              <w:t>HAN FENG, INC.</w:t>
            </w:r>
          </w:p>
        </w:tc>
      </w:tr>
    </w:tbl>
    <w:tbl>
      <w:tblPr>
        <w:tblW w:w="2690" w:type="dxa"/>
        <w:jc w:val="left"/>
        <w:tblInd w:w="0" w:type="dxa"/>
        <w:tblLayout w:type="fixed"/>
        <w:tblCellMar>
          <w:top w:w="0" w:type="dxa"/>
          <w:left w:w="0" w:type="dxa"/>
          <w:bottom w:w="0" w:type="dxa"/>
          <w:right w:w="0" w:type="dxa"/>
        </w:tblCellMar>
      </w:tblPr>
      <w:tblGrid>
        <w:gridCol w:w="75"/>
        <w:gridCol w:w="2615"/>
      </w:tblGrid>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both"/>
              <w:rPr>
                <w:b/>
              </w:rPr>
            </w:pPr>
            <w:r>
              <w:rPr>
                <w:b/>
              </w:rPr>
              <w:t>HF ATLANTA, LLC</w:t>
              <w:br/>
              <w:t>HF CHARLOTTE, LLC</w:t>
            </w:r>
          </w:p>
        </w:tc>
      </w:tr>
    </w:tbl>
    <w:tbl>
      <w:tblPr>
        <w:tblW w:w="2825" w:type="dxa"/>
        <w:jc w:val="left"/>
        <w:tblInd w:w="0" w:type="dxa"/>
        <w:tblLayout w:type="fixed"/>
        <w:tblCellMar>
          <w:top w:w="0" w:type="dxa"/>
          <w:left w:w="0" w:type="dxa"/>
          <w:bottom w:w="0" w:type="dxa"/>
          <w:right w:w="0" w:type="dxa"/>
        </w:tblCellMar>
      </w:tblPr>
      <w:tblGrid>
        <w:gridCol w:w="75"/>
        <w:gridCol w:w="2750"/>
      </w:tblGrid>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both"/>
              <w:rPr/>
            </w:pPr>
            <w:r>
              <w:rPr>
                <w:b/>
              </w:rPr>
              <w:t>HF</w:t>
            </w:r>
            <w:r>
              <w:rPr/>
              <w:t xml:space="preserve"> </w:t>
            </w:r>
            <w:r>
              <w:rPr>
                <w:b/>
              </w:rPr>
              <w:t>FOODS GROUP INC.</w:t>
            </w:r>
          </w:p>
        </w:tc>
      </w:tr>
    </w:tbl>
    <w:tbl>
      <w:tblPr>
        <w:tblW w:w="4745" w:type="dxa"/>
        <w:jc w:val="left"/>
        <w:tblInd w:w="0" w:type="dxa"/>
        <w:tblLayout w:type="fixed"/>
        <w:tblCellMar>
          <w:top w:w="0" w:type="dxa"/>
          <w:left w:w="0" w:type="dxa"/>
          <w:bottom w:w="0" w:type="dxa"/>
          <w:right w:w="0" w:type="dxa"/>
        </w:tblCellMar>
      </w:tblPr>
      <w:tblGrid>
        <w:gridCol w:w="75"/>
        <w:gridCol w:w="4670"/>
      </w:tblGrid>
      <w:tr>
        <w:trPr/>
        <w:tc>
          <w:tcPr>
            <w:tcW w:w="7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both"/>
              <w:rPr/>
            </w:pPr>
            <w:r>
              <w:rPr>
                <w:b/>
              </w:rPr>
              <w:t>KIRNLAND</w:t>
            </w:r>
            <w:r>
              <w:rPr/>
              <w:t xml:space="preserve"> </w:t>
            </w:r>
            <w:r>
              <w:rPr>
                <w:b/>
              </w:rPr>
              <w:t xml:space="preserve">FOOD DISTRIBUTION, INC. </w:t>
              <w:br/>
              <w:t>LENFA FOOD, LLC</w:t>
            </w:r>
          </w:p>
        </w:tc>
      </w:tr>
    </w:tbl>
    <w:tbl>
      <w:tblPr>
        <w:tblW w:w="2720" w:type="dxa"/>
        <w:jc w:val="left"/>
        <w:tblInd w:w="0" w:type="dxa"/>
        <w:tblLayout w:type="fixed"/>
        <w:tblCellMar>
          <w:top w:w="0" w:type="dxa"/>
          <w:left w:w="0" w:type="dxa"/>
          <w:bottom w:w="0" w:type="dxa"/>
          <w:right w:w="0" w:type="dxa"/>
        </w:tblCellMar>
      </w:tblPr>
      <w:tblGrid>
        <w:gridCol w:w="75"/>
        <w:gridCol w:w="2645"/>
      </w:tblGrid>
      <w:tr>
        <w:trPr/>
        <w:tc>
          <w:tcPr>
            <w:tcW w:w="7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both"/>
              <w:rPr>
                <w:b/>
              </w:rPr>
            </w:pPr>
            <w:r>
              <w:rPr>
                <w:b/>
              </w:rPr>
              <w:t>LUCKY REALTY, LLC</w:t>
              <w:br/>
              <w:t>MIN FOOD INC.</w:t>
            </w:r>
          </w:p>
        </w:tc>
      </w:tr>
    </w:tbl>
    <w:tbl>
      <w:tblPr>
        <w:tblW w:w="4145" w:type="dxa"/>
        <w:jc w:val="left"/>
        <w:tblInd w:w="0" w:type="dxa"/>
        <w:tblLayout w:type="fixed"/>
        <w:tblCellMar>
          <w:top w:w="0" w:type="dxa"/>
          <w:left w:w="0" w:type="dxa"/>
          <w:bottom w:w="0" w:type="dxa"/>
          <w:right w:w="0" w:type="dxa"/>
        </w:tblCellMar>
      </w:tblPr>
      <w:tblGrid>
        <w:gridCol w:w="75"/>
        <w:gridCol w:w="4070"/>
      </w:tblGrid>
      <w:tr>
        <w:trPr/>
        <w:tc>
          <w:tcPr>
            <w:tcW w:w="75"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both"/>
              <w:rPr>
                <w:b/>
              </w:rPr>
            </w:pPr>
            <w:r>
              <w:rPr>
                <w:b/>
              </w:rPr>
              <w:t xml:space="preserve">MONTEREY FOOD SERVICE, LLC </w:t>
              <w:br/>
              <w:t>MOUNTAIN FOOD, LLC</w:t>
            </w:r>
          </w:p>
        </w:tc>
      </w:tr>
    </w:tbl>
    <w:tbl>
      <w:tblPr>
        <w:tblW w:w="3485" w:type="dxa"/>
        <w:jc w:val="left"/>
        <w:tblInd w:w="0" w:type="dxa"/>
        <w:tblLayout w:type="fixed"/>
        <w:tblCellMar>
          <w:top w:w="0" w:type="dxa"/>
          <w:left w:w="0" w:type="dxa"/>
          <w:bottom w:w="0" w:type="dxa"/>
          <w:right w:w="0" w:type="dxa"/>
        </w:tblCellMar>
      </w:tblPr>
      <w:tblGrid>
        <w:gridCol w:w="75"/>
        <w:gridCol w:w="3410"/>
      </w:tblGrid>
      <w:tr>
        <w:trPr/>
        <w:tc>
          <w:tcPr>
            <w:tcW w:w="7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both"/>
              <w:rPr/>
            </w:pPr>
            <w:r>
              <w:rPr>
                <w:b/>
              </w:rPr>
              <w:t>MURRAY</w:t>
            </w:r>
            <w:r>
              <w:rPr/>
              <w:t xml:space="preserve"> </w:t>
            </w:r>
            <w:r>
              <w:rPr>
                <w:b/>
              </w:rPr>
              <w:t>PROPERTIES, LLC</w:t>
            </w:r>
          </w:p>
        </w:tc>
      </w:tr>
    </w:tbl>
    <w:tbl>
      <w:tblPr>
        <w:tblW w:w="5465" w:type="dxa"/>
        <w:jc w:val="left"/>
        <w:tblInd w:w="0" w:type="dxa"/>
        <w:tblLayout w:type="fixed"/>
        <w:tblCellMar>
          <w:top w:w="0" w:type="dxa"/>
          <w:left w:w="0" w:type="dxa"/>
          <w:bottom w:w="0" w:type="dxa"/>
          <w:right w:w="0" w:type="dxa"/>
        </w:tblCellMar>
      </w:tblPr>
      <w:tblGrid>
        <w:gridCol w:w="75"/>
        <w:gridCol w:w="5390"/>
      </w:tblGrid>
      <w:tr>
        <w:trPr/>
        <w:tc>
          <w:tcPr>
            <w:tcW w:w="75"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both"/>
              <w:rPr/>
            </w:pPr>
            <w:r>
              <w:rPr>
                <w:b/>
              </w:rPr>
              <w:t xml:space="preserve">NEW SOUTHERN FOOD DISTRIBUTORS, INC. </w:t>
              <w:br/>
              <w:t>R &amp;</w:t>
            </w:r>
            <w:r>
              <w:rPr/>
              <w:t xml:space="preserve"> </w:t>
            </w:r>
            <w:r>
              <w:rPr>
                <w:b/>
              </w:rPr>
              <w:t>C TRADING L.L.C.</w:t>
            </w:r>
          </w:p>
        </w:tc>
      </w:tr>
    </w:tbl>
    <w:tbl>
      <w:tblPr>
        <w:tblW w:w="3275" w:type="dxa"/>
        <w:jc w:val="left"/>
        <w:tblInd w:w="0" w:type="dxa"/>
        <w:tblLayout w:type="fixed"/>
        <w:tblCellMar>
          <w:top w:w="0" w:type="dxa"/>
          <w:left w:w="0" w:type="dxa"/>
          <w:bottom w:w="0" w:type="dxa"/>
          <w:right w:w="0" w:type="dxa"/>
        </w:tblCellMar>
      </w:tblPr>
      <w:tblGrid>
        <w:gridCol w:w="75"/>
        <w:gridCol w:w="3200"/>
      </w:tblGrid>
      <w:tr>
        <w:trPr/>
        <w:tc>
          <w:tcPr>
            <w:tcW w:w="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both"/>
              <w:rPr/>
            </w:pPr>
            <w:r>
              <w:rPr>
                <w:b/>
              </w:rPr>
              <w:t xml:space="preserve">R &amp; N CHARLOTTE, L.L.C. </w:t>
              <w:br/>
              <w:t>R &amp;</w:t>
            </w:r>
            <w:r>
              <w:rPr/>
              <w:t xml:space="preserve"> </w:t>
            </w:r>
            <w:r>
              <w:rPr>
                <w:b/>
              </w:rPr>
              <w:t>N HOLDINGS, L.L.C.</w:t>
            </w:r>
          </w:p>
        </w:tc>
      </w:tr>
    </w:tbl>
    <w:tbl>
      <w:tblPr>
        <w:tblW w:w="3620" w:type="dxa"/>
        <w:jc w:val="left"/>
        <w:tblInd w:w="0" w:type="dxa"/>
        <w:tblLayout w:type="fixed"/>
        <w:tblCellMar>
          <w:top w:w="0" w:type="dxa"/>
          <w:left w:w="0" w:type="dxa"/>
          <w:bottom w:w="0" w:type="dxa"/>
          <w:right w:w="0" w:type="dxa"/>
        </w:tblCellMar>
      </w:tblPr>
      <w:tblGrid>
        <w:gridCol w:w="75"/>
        <w:gridCol w:w="3545"/>
      </w:tblGrid>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both"/>
              <w:rPr>
                <w:b/>
              </w:rPr>
            </w:pPr>
            <w:r>
              <w:rPr>
                <w:b/>
              </w:rPr>
              <w:t xml:space="preserve">RONGCHENG TRADING, LLC </w:t>
              <w:br/>
              <w:t>SUNFLOWER 2.0, LLC</w:t>
            </w:r>
          </w:p>
        </w:tc>
      </w:tr>
    </w:tbl>
    <w:tbl>
      <w:tblPr>
        <w:tblW w:w="3125" w:type="dxa"/>
        <w:jc w:val="left"/>
        <w:tblInd w:w="0" w:type="dxa"/>
        <w:tblLayout w:type="fixed"/>
        <w:tblCellMar>
          <w:top w:w="0" w:type="dxa"/>
          <w:left w:w="0" w:type="dxa"/>
          <w:bottom w:w="0" w:type="dxa"/>
          <w:right w:w="0" w:type="dxa"/>
        </w:tblCellMar>
      </w:tblPr>
      <w:tblGrid>
        <w:gridCol w:w="75"/>
        <w:gridCol w:w="3050"/>
      </w:tblGrid>
      <w:tr>
        <w:trPr/>
        <w:tc>
          <w:tcPr>
            <w:tcW w:w="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both"/>
              <w:rPr>
                <w:b/>
              </w:rPr>
            </w:pPr>
            <w:r>
              <w:rPr>
                <w:b/>
              </w:rPr>
              <w:t>T&amp;G GROUP, LLC</w:t>
            </w:r>
          </w:p>
        </w:tc>
      </w:tr>
      <w:tr>
        <w:trPr/>
        <w:tc>
          <w:tcPr>
            <w:tcW w:w="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both"/>
              <w:rPr>
                <w:b/>
              </w:rPr>
            </w:pPr>
            <w:r>
              <w:rPr>
                <w:b/>
              </w:rPr>
              <w:t>WIN WOO TRADING, LLC</w:t>
            </w:r>
          </w:p>
        </w:tc>
      </w:tr>
    </w:tbl>
    <w:p>
      <w:pPr>
        <w:pStyle w:val="TextBody"/>
        <w:bidi w:val="0"/>
        <w:spacing w:before="0" w:after="0"/>
        <w:ind w:left="4725"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650"/>
        <w:gridCol w:w="1850"/>
      </w:tblGrid>
      <w:tr>
        <w:trPr/>
        <w:tc>
          <w:tcPr>
            <w:tcW w:w="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By:</w:t>
            </w:r>
          </w:p>
        </w:tc>
        <w:tc>
          <w:tcPr>
            <w:tcW w:w="1850" w:type="dxa"/>
            <w:tcBorders>
              <w:bottom w:val="single" w:sz="12" w:space="0" w:color="000000"/>
            </w:tcBorders>
            <w:tcMar>
              <w:bottom w:w="28" w:type="dxa"/>
            </w:tcMar>
            <w:vAlign w:val="center"/>
          </w:tcPr>
          <w:p>
            <w:pPr>
              <w:pStyle w:val="TableContents"/>
              <w:bidi w:val="0"/>
              <w:spacing w:before="0" w:after="283"/>
              <w:jc w:val="both"/>
              <w:rPr/>
            </w:pPr>
            <w:r>
              <w:rPr/>
              <w:t>/s/ Christine Chang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50" w:type="dxa"/>
            <w:tcBorders/>
            <w:vAlign w:val="center"/>
          </w:tcPr>
          <w:p>
            <w:pPr>
              <w:pStyle w:val="TableContents"/>
              <w:bidi w:val="0"/>
              <w:spacing w:before="0" w:after="283"/>
              <w:jc w:val="both"/>
              <w:rPr/>
            </w:pPr>
            <w:r>
              <w:rPr/>
              <w:t>Christine Chang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50" w:type="dxa"/>
            <w:tcBorders/>
            <w:vAlign w:val="center"/>
          </w:tcPr>
          <w:p>
            <w:pPr>
              <w:pStyle w:val="TableContents"/>
              <w:bidi w:val="0"/>
              <w:spacing w:before="0" w:after="283"/>
              <w:jc w:val="both"/>
              <w:rPr/>
            </w:pPr>
            <w:r>
              <w:rPr/>
              <w:t>Secretary</w:t>
            </w:r>
          </w:p>
        </w:tc>
      </w:tr>
    </w:tbl>
    <w:p>
      <w:pPr>
        <w:pStyle w:val="TextBody"/>
        <w:bidi w:val="0"/>
        <w:spacing w:before="0" w:after="0"/>
        <w:ind w:left="4725"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Consent Under Third Amended and Restated Credit Agreement</w:t>
      </w:r>
    </w:p>
    <w:p>
      <w:pPr>
        <w:pStyle w:val="TextBody"/>
        <w:bidi w:val="0"/>
        <w:spacing w:before="0" w:after="0"/>
        <w:ind w:left="4725"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4703" w:right="0" w:hanging="0"/>
        <w:jc w:val="left"/>
        <w:rPr>
          <w:caps w:val="false"/>
          <w:smallCaps w:val="false"/>
        </w:rPr>
      </w:pPr>
      <w:r>
        <w:rPr>
          <w:caps w:val="false"/>
          <w:smallCaps w:val="false"/>
        </w:rPr>
        <w:t> </w:t>
      </w:r>
    </w:p>
    <w:tbl>
      <w:tblPr>
        <w:tblW w:w="4084" w:type="dxa"/>
        <w:jc w:val="left"/>
        <w:tblInd w:w="0" w:type="dxa"/>
        <w:tblLayout w:type="fixed"/>
        <w:tblCellMar>
          <w:top w:w="0" w:type="dxa"/>
          <w:left w:w="0" w:type="dxa"/>
          <w:bottom w:w="0" w:type="dxa"/>
          <w:right w:w="0" w:type="dxa"/>
        </w:tblCellMar>
      </w:tblPr>
      <w:tblGrid>
        <w:gridCol w:w="75"/>
        <w:gridCol w:w="989"/>
        <w:gridCol w:w="3020"/>
      </w:tblGrid>
      <w:tr>
        <w:trPr/>
        <w:tc>
          <w:tcPr>
            <w:tcW w:w="75" w:type="dxa"/>
            <w:tcBorders/>
            <w:vAlign w:val="center"/>
          </w:tcPr>
          <w:p>
            <w:pPr>
              <w:pStyle w:val="TableContents"/>
              <w:bidi w:val="0"/>
              <w:spacing w:before="0" w:after="283"/>
              <w:jc w:val="left"/>
              <w:rPr/>
            </w:pPr>
            <w:r>
              <w:rPr/>
              <w:t> </w:t>
            </w:r>
          </w:p>
        </w:tc>
        <w:tc>
          <w:tcPr>
            <w:tcW w:w="4009" w:type="dxa"/>
            <w:gridSpan w:val="2"/>
            <w:tcBorders/>
            <w:vAlign w:val="center"/>
          </w:tcPr>
          <w:p>
            <w:pPr>
              <w:pStyle w:val="TableContents"/>
              <w:bidi w:val="0"/>
              <w:spacing w:before="0" w:after="283"/>
              <w:jc w:val="left"/>
              <w:rPr/>
            </w:pPr>
            <w:r>
              <w:rPr>
                <w:b/>
              </w:rPr>
              <w:t>JPMORGAN CHASE BANK, N.A.</w:t>
            </w:r>
            <w:r>
              <w:rPr/>
              <w:t>, as</w:t>
            </w:r>
          </w:p>
        </w:tc>
      </w:tr>
      <w:tr>
        <w:trPr/>
        <w:tc>
          <w:tcPr>
            <w:tcW w:w="75" w:type="dxa"/>
            <w:tcBorders/>
            <w:vAlign w:val="center"/>
          </w:tcPr>
          <w:p>
            <w:pPr>
              <w:pStyle w:val="TableContents"/>
              <w:bidi w:val="0"/>
              <w:spacing w:before="0" w:after="283"/>
              <w:jc w:val="left"/>
              <w:rPr/>
            </w:pPr>
            <w:r>
              <w:rPr/>
              <w:t> </w:t>
            </w:r>
          </w:p>
        </w:tc>
        <w:tc>
          <w:tcPr>
            <w:tcW w:w="4009" w:type="dxa"/>
            <w:gridSpan w:val="2"/>
            <w:tcBorders/>
            <w:vAlign w:val="center"/>
          </w:tcPr>
          <w:p>
            <w:pPr>
              <w:pStyle w:val="TableContents"/>
              <w:bidi w:val="0"/>
              <w:spacing w:before="0" w:after="283"/>
              <w:jc w:val="left"/>
              <w:rPr/>
            </w:pPr>
            <w:r>
              <w:rPr/>
              <w:t>Administrative Agent and a Lender</w:t>
            </w:r>
          </w:p>
        </w:tc>
      </w:tr>
      <w:tr>
        <w:trPr/>
        <w:tc>
          <w:tcPr>
            <w:tcW w:w="7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pPr>
            <w:r>
              <w:rPr/>
              <w:t>By:</w:t>
            </w:r>
          </w:p>
        </w:tc>
        <w:tc>
          <w:tcPr>
            <w:tcW w:w="3020" w:type="dxa"/>
            <w:tcBorders>
              <w:bottom w:val="single" w:sz="12" w:space="0" w:color="000000"/>
            </w:tcBorders>
            <w:tcMar>
              <w:bottom w:w="28" w:type="dxa"/>
            </w:tcMar>
            <w:vAlign w:val="center"/>
          </w:tcPr>
          <w:p>
            <w:pPr>
              <w:pStyle w:val="TableContents"/>
              <w:bidi w:val="0"/>
              <w:spacing w:before="0" w:after="283"/>
              <w:jc w:val="both"/>
              <w:rPr/>
            </w:pPr>
            <w:r>
              <w:rPr/>
              <w:t>/s/ Matthew Harmon</w:t>
            </w:r>
          </w:p>
        </w:tc>
      </w:tr>
      <w:tr>
        <w:trPr/>
        <w:tc>
          <w:tcPr>
            <w:tcW w:w="7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Name:</w:t>
            </w:r>
          </w:p>
        </w:tc>
        <w:tc>
          <w:tcPr>
            <w:tcW w:w="3020" w:type="dxa"/>
            <w:tcBorders/>
            <w:vAlign w:val="center"/>
          </w:tcPr>
          <w:p>
            <w:pPr>
              <w:pStyle w:val="TableContents"/>
              <w:bidi w:val="0"/>
              <w:spacing w:before="0" w:after="283"/>
              <w:jc w:val="both"/>
              <w:rPr/>
            </w:pPr>
            <w:r>
              <w:rPr/>
              <w:t>Matthew Harmon</w:t>
            </w:r>
          </w:p>
        </w:tc>
      </w:tr>
      <w:tr>
        <w:trPr/>
        <w:tc>
          <w:tcPr>
            <w:tcW w:w="7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Title:</w:t>
            </w:r>
          </w:p>
        </w:tc>
        <w:tc>
          <w:tcPr>
            <w:tcW w:w="3020" w:type="dxa"/>
            <w:tcBorders/>
            <w:vAlign w:val="center"/>
          </w:tcPr>
          <w:p>
            <w:pPr>
              <w:pStyle w:val="TableContents"/>
              <w:bidi w:val="0"/>
              <w:spacing w:before="0" w:after="283"/>
              <w:jc w:val="both"/>
              <w:rPr/>
            </w:pPr>
            <w:r>
              <w:rPr/>
              <w:t>Authorized Officer</w:t>
            </w:r>
          </w:p>
        </w:tc>
      </w:tr>
    </w:tbl>
    <w:p>
      <w:pPr>
        <w:pStyle w:val="TextBody"/>
        <w:bidi w:val="0"/>
        <w:spacing w:before="0" w:after="0"/>
        <w:ind w:left="470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Consent Under Third Amended and Restated Credit Agreement</w:t>
      </w:r>
    </w:p>
    <w:p>
      <w:pPr>
        <w:pStyle w:val="TextBody"/>
        <w:bidi w:val="0"/>
        <w:spacing w:before="0" w:after="0"/>
        <w:ind w:left="4703"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4776" w:right="0" w:hanging="0"/>
        <w:jc w:val="left"/>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851"/>
        <w:gridCol w:w="2108"/>
      </w:tblGrid>
      <w:tr>
        <w:trPr/>
        <w:tc>
          <w:tcPr>
            <w:tcW w:w="75" w:type="dxa"/>
            <w:tcBorders/>
            <w:vAlign w:val="center"/>
          </w:tcPr>
          <w:p>
            <w:pPr>
              <w:pStyle w:val="TableContents"/>
              <w:bidi w:val="0"/>
              <w:spacing w:before="0" w:after="283"/>
              <w:jc w:val="left"/>
              <w:rPr/>
            </w:pPr>
            <w:r>
              <w:rPr/>
              <w:t> </w:t>
            </w:r>
          </w:p>
        </w:tc>
        <w:tc>
          <w:tcPr>
            <w:tcW w:w="2959" w:type="dxa"/>
            <w:gridSpan w:val="2"/>
            <w:tcBorders/>
            <w:vAlign w:val="center"/>
          </w:tcPr>
          <w:p>
            <w:pPr>
              <w:pStyle w:val="TableContents"/>
              <w:bidi w:val="0"/>
              <w:spacing w:before="0" w:after="283"/>
              <w:jc w:val="left"/>
              <w:rPr/>
            </w:pPr>
            <w:r>
              <w:rPr>
                <w:b/>
              </w:rPr>
              <w:t>TD BANK, N.A.</w:t>
            </w:r>
            <w:r>
              <w:rPr/>
              <w:t>, as a Lender</w:t>
            </w:r>
          </w:p>
        </w:tc>
      </w:tr>
      <w:tr>
        <w:trPr/>
        <w:tc>
          <w:tcPr>
            <w:tcW w:w="75"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 </w:t>
            </w:r>
          </w:p>
        </w:tc>
        <w:tc>
          <w:tcPr>
            <w:tcW w:w="210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pPr>
            <w:r>
              <w:rPr/>
              <w:t>By:</w:t>
            </w:r>
          </w:p>
        </w:tc>
        <w:tc>
          <w:tcPr>
            <w:tcW w:w="2108" w:type="dxa"/>
            <w:tcBorders>
              <w:bottom w:val="single" w:sz="12" w:space="0" w:color="000000"/>
            </w:tcBorders>
            <w:tcMar>
              <w:bottom w:w="28" w:type="dxa"/>
            </w:tcMar>
            <w:vAlign w:val="center"/>
          </w:tcPr>
          <w:p>
            <w:pPr>
              <w:pStyle w:val="TableContents"/>
              <w:bidi w:val="0"/>
              <w:spacing w:before="0" w:after="283"/>
              <w:jc w:val="both"/>
              <w:rPr/>
            </w:pPr>
            <w:r>
              <w:rPr/>
              <w:t>/s/ Dean Whalen</w:t>
            </w:r>
          </w:p>
        </w:tc>
      </w:tr>
      <w:tr>
        <w:trPr/>
        <w:tc>
          <w:tcPr>
            <w:tcW w:w="75"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Name:</w:t>
            </w:r>
          </w:p>
        </w:tc>
        <w:tc>
          <w:tcPr>
            <w:tcW w:w="2108" w:type="dxa"/>
            <w:tcBorders/>
            <w:vAlign w:val="center"/>
          </w:tcPr>
          <w:p>
            <w:pPr>
              <w:pStyle w:val="TableContents"/>
              <w:bidi w:val="0"/>
              <w:spacing w:before="0" w:after="283"/>
              <w:jc w:val="both"/>
              <w:rPr/>
            </w:pPr>
            <w:r>
              <w:rPr/>
              <w:t>Dean Whalen</w:t>
            </w:r>
          </w:p>
        </w:tc>
      </w:tr>
      <w:tr>
        <w:trPr/>
        <w:tc>
          <w:tcPr>
            <w:tcW w:w="75"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left"/>
              <w:rPr/>
            </w:pPr>
            <w:r>
              <w:rPr/>
              <w:t>Title:</w:t>
            </w:r>
          </w:p>
        </w:tc>
        <w:tc>
          <w:tcPr>
            <w:tcW w:w="2108" w:type="dxa"/>
            <w:tcBorders/>
            <w:vAlign w:val="center"/>
          </w:tcPr>
          <w:p>
            <w:pPr>
              <w:pStyle w:val="TableContents"/>
              <w:bidi w:val="0"/>
              <w:spacing w:before="0" w:after="283"/>
              <w:jc w:val="both"/>
              <w:rPr/>
            </w:pPr>
            <w:r>
              <w:rPr/>
              <w:t>Vice President</w:t>
            </w:r>
          </w:p>
        </w:tc>
      </w:tr>
    </w:tbl>
    <w:p>
      <w:pPr>
        <w:pStyle w:val="TextBody"/>
        <w:bidi w:val="0"/>
        <w:spacing w:before="0" w:after="0"/>
        <w:ind w:left="4776"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Consent Under Third Amended and Restated Credit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30408801ex99-1.htm"/>
      <w:bookmarkStart w:id="31" w:name="ksea030408801ex991"/>
      <w:bookmarkEnd w:id="30"/>
      <w:bookmarkEnd w:id="31"/>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HF Foods Group Completes Acquisition of Searay Foods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Transaction marks HF Foods’ first international expansion; expected to be immediately accretive to Margins and EPS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September 3, 2026 (GLOBE NEWSWIRE) -- HF Foods Group Inc. (NASDAQ: HFFG) (“HF Foods” or the “Company”), a leading distributor of international foodservice solutions to Asian restaurants and other businesses across the United States and Canada, today announced that it has completed the acquisition of Searay Foods Inc. and its related entities (“Searay”), a leading Canadian importer and distributor of ethnic and specialty frozen seafood headquartered in Richmond, British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HF Foods acquired 100% of the issued and outstanding equity interests of Searay for an aggregate base purchase price of approximately CAD$47.9 million (approximately US$35.0 million), representing approximately 5.0x Searay’s 2025 Adjusted EBITDA, paid through a combination of CAD$38.4 million (approximately US$27.8 million) cash and 1.7 million shares, priced at USD$4.00 per share, of HF Foods common stock, with additional contingent considerations payable based on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With Searay now a part of HF Foods, we have established a platform in Canada and a deeper presence in specialty frozen seafood, a category that represents a meaningful and growing share of our business,” said Felix Lin, President and Chief Executive Officer of HF Foods. “Searay brings a strong financial profile, including industry-leading margins and a track record of consistent growth, and we look forward to combining its multi-brand portfolio with our national scale to capture significant cross-selling and supply chain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Searay’s existing management team, led by incoming Chief Executive Officer Derick Ngan, will continue to lead Searay’s day-to-day operations as a subsidiary of HF Foods.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HF Foods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HF Foods Group Inc. is a leading marketer and distributor of fresh produce, frozen and dry food, and non-food products to primarily Asian restaurants and other foodservice customers throughout the United States and Canada. HF Foods aims to supply the increasing demand for Asian American restaurant cuisine, leveraging its nationwide network of distribution centers and its strong relations with growers and suppliers of fresh, high-quality specialty restaurant food products and supplies in the US and Asia. Headquartered in Las Vegas, Nevada, HF Foods trades on Nasdaq under the symbol “HFFG”. For more information, please visit www.hffoodsgroup.com.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Searay Foods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2000 and headquartered in Richmond, British Columbia, Searay Foods Inc. is a leading Canadian importer and distributor of branded ethnic and specialty frozen seafood, serving retail, wholesale, and restaurant customers across North America. Searay sources premium frozen seafood from more than 80 suppliers worldwide and distributes its products through six proprietary brands, including Searay Foods, Thai Best, Pinoy’s Best, Smart Fish, Diamond Shrimp, and Gold Label.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news release other than statements of historical facts are, or may be deemed to be, “forward-looking statements” within the meaning of the Private Securities Litigation Reform Act of 1995 and contain our current expectations about our future results, including statements regarding the expected benefits and effects of the acquisition of Searay. We have attempted to identify any forward-looking statements by using words such as “expects,” “believes,” “anticipates,” “plans,” “will,” “target” and other similar expressions. Although we believe that the expectations reflected in all of our forward-looking statements are reasonable, we can give no assurance that such expectations will prove to be correct. Such statements are not guarantees of future performance or events and are subject to known and unknown risks and uncertainties that could cause the Company’s actual results, events, or financial positions to differ materially from those included within or implied by such forward-looking statements, including risks relating to the Company’s ability to successfully integrate Searay’s operations and realize anticipated synergies, risks relating to the impact of foreign currency fluctuations, and other factors disclosed under the caption “Risk Factors” in our Annual Report on Form 10-K for the year ended December 31, 2025 and other filings with the Securities and Exchange Commission (the “SEC”). Readers are cautioned not to place undue reliance on these forward-looking statements, which speak only as of the date made. Except as required by law, we undertake no obligation to disclose any revision to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refers to Searay’s 2025 Adjusted EBITDA and to the expected accretive effect of the acquisition on the Company’s margins and earnings per share. These are non-GAAP financial measures. Adjusted EBITDA of Searay represents Searay’s net income before interest, income taxes, depreciation and amortization, further adjusted for transaction-related expenses, owner compensation normalization and certain other items, in each case as defined in the purchase agreement. Searay’s historical financial statements are presented in Canadian dollars and were prepared under accounting standards that differ from generally accepted accounting principles in the United States (“GAAP”). Searay’s Adjusted EBITDA is presented on a standalone, pre-acquisition basis, gives no effect to purchase accounting, acquisition financing or public company costs, and is not indicative of the future results of Searay or of the combined company. The purchase price multiple presented above is calculated on the base purchase price and excludes contingent consideration. To the extent required, any historical financial statements of Searay and related pro forma financial information will be filed with the SEC by amendment to the Company’s Current Report on Form 8-K within the period prescribed by Rule 3-05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the expected accretive effect of the acquisition on margins and earnings per share are forward-looking. The Company is unable to reconcile these forward-looking measures to the most directly comparable GAAP measures without unreasonable effort because it cannot predict with reasonable certainty the final allocation of the purchase price to acquired intangible assets and the related amortization, acquisition and integration costs, changes in the fair value of contingent consideration, or foreign currency movements, any of which could be material. Non-GAAP financial measures should not be considered in isolation or as a substitute for financial measures prepared in accordance with GAAP and may not be comparable to similarly titled measures presented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 Kate Heller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hffoodsgroup@icrinc.com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0873/000168087326000051/exhibit101-securitiespur.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7112</Words>
  <Characters>38357</Characters>
  <CharactersWithSpaces>45567</CharactersWithSpaces>
  <Paragraphs>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