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June 5, 2026</w:t>
      </w:r>
      <w:r>
        <w:rPr>
          <w:color w:val="000000"/>
        </w:rPr>
        <w:t xml:space="preserve">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June 5, 2026, HF Foods Group Inc. (the "Company") held its annual meeting of stockholders (the "Annual Meeting"). A total of 44,025,014 shares, or 82% of the Company’s common stock issued and outstanding and entitled to vote as of April 15, 2026, the record date, were present in person or represented by proxy at the Annual Meeting, constituting a quorum.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final voting results for each proposal considered and voted upon at the Annual Meeting, each of which were described in the Company’s Definitive Proxy Statement filed with the Securities and Exchange Commission on April 24, 2026 (the “Proxy Statement”), are set forth below.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Proposal 1 - Director Election Proposal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final voting results for the Director Election Proposal were as follows: </w:t>
      </w:r>
    </w:p>
    <w:p>
      <w:pPr>
        <w:pStyle w:val="TextBody"/>
        <w:bidi w:val="0"/>
        <w:spacing w:before="0" w:after="0"/>
        <w:jc w:val="both"/>
        <w:rPr/>
      </w:pPr>
      <w:r>
        <w:rPr/>
      </w:r>
    </w:p>
    <w:tbl>
      <w:tblPr>
        <w:tblW w:w="8753"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540"/>
        <w:gridCol w:w="541"/>
        <w:gridCol w:w="311"/>
        <w:gridCol w:w="109"/>
        <w:gridCol w:w="109"/>
        <w:gridCol w:w="109"/>
        <w:gridCol w:w="540"/>
        <w:gridCol w:w="541"/>
        <w:gridCol w:w="436"/>
        <w:gridCol w:w="109"/>
        <w:gridCol w:w="109"/>
        <w:gridCol w:w="109"/>
        <w:gridCol w:w="413"/>
        <w:gridCol w:w="413"/>
        <w:gridCol w:w="381"/>
        <w:gridCol w:w="109"/>
        <w:gridCol w:w="109"/>
        <w:gridCol w:w="109"/>
        <w:gridCol w:w="495"/>
        <w:gridCol w:w="495"/>
        <w:gridCol w:w="705"/>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Director Nominee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Non-Votes</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 "Felix"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19,629,099 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20,020,113 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4,362,333 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Diaz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19,913,312 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19,687,949 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61,420 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4,362,333 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Dennis Lam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21,792,225 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17,280,472 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589,984 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4,362,333 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Jeffery Taylor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19,194,335 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20,466,587 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4,362,333 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the results set forth above, each director nominee named above was elected at the Annual Meeting, except for Messrs. Lin and Taylor. Following a review by the Nominating and Governance Committee (the “Committee”) pursuant to the Company's Corporate Governance Guidelines, the Committee and the Board of Directors (the “Board”) determined that it is in the best interests of the Company and its stockholders for each of Messrs. Lin and Taylor to continue serving on the Board.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reaching its determination, the Committee considered, among other factors, that a significant stockholder informed the Company following the Annual Meeting that an administrative error caused it to fail to submit voting instructions for approximately 1.4 million shares it intended to vote in favor of the election of each of the Company’s nominees for director. Absent this error, each of Messrs. Lin and Taylor would have received affirmative votes exceeding the majority threshold. The Committee also considered (i) Mr. Lin's operational background, his experience in various leadership positions within the Company, including his continuing role as President and Chief Executive Officer of the Company, and his prior roles at other public companies, (ii) Mr. Taylor's experience in financial roles across various markets and as the Chief Financial Officer of several public companies, (iii) the votes of certain stockholders with interests the Company believes to be adverse to those of the Company and its other stockholders, (iv) the overall composition of the Board, and (v) the near-term goals of the Company and the anticipated value of the continuing service of Messrs. Lin and Taylor in achieving those goals.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Each of Messrs. Lin and Taylor recused himself from, and did not attend, the portions of the meetings of the Board and the Committee, as applicable, at which the Board and the Committee considered his resignation.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Proposal 2 - Auditor Ratification Proposal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appointment of BDO USA, P.C. as the Company’s independent registered public accounting firm for the year ending December 31, 2026 was ratified by the stockholders.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final voting results for the Auditor Ratification Proposal were as follows: </w:t>
      </w:r>
    </w:p>
    <w:p>
      <w:pPr>
        <w:pStyle w:val="TextBody"/>
        <w:bidi w:val="0"/>
        <w:spacing w:before="0" w:after="0"/>
        <w:jc w:val="both"/>
        <w:rPr/>
      </w:pPr>
      <w:r>
        <w:rPr/>
      </w:r>
    </w:p>
    <w:tbl>
      <w:tblPr>
        <w:tblW w:w="6627" w:type="dxa"/>
        <w:jc w:val="left"/>
        <w:tblInd w:w="0" w:type="dxa"/>
        <w:tblLayout w:type="fixed"/>
        <w:tblCellMar>
          <w:top w:w="28" w:type="dxa"/>
          <w:left w:w="28" w:type="dxa"/>
          <w:bottom w:w="28" w:type="dxa"/>
          <w:right w:w="28" w:type="dxa"/>
        </w:tblCellMar>
      </w:tblPr>
      <w:tblGrid>
        <w:gridCol w:w="583"/>
        <w:gridCol w:w="513"/>
        <w:gridCol w:w="302"/>
        <w:gridCol w:w="109"/>
        <w:gridCol w:w="109"/>
        <w:gridCol w:w="109"/>
        <w:gridCol w:w="488"/>
        <w:gridCol w:w="488"/>
        <w:gridCol w:w="436"/>
        <w:gridCol w:w="109"/>
        <w:gridCol w:w="109"/>
        <w:gridCol w:w="109"/>
        <w:gridCol w:w="380"/>
        <w:gridCol w:w="380"/>
        <w:gridCol w:w="381"/>
        <w:gridCol w:w="109"/>
        <w:gridCol w:w="109"/>
        <w:gridCol w:w="109"/>
        <w:gridCol w:w="495"/>
        <w:gridCol w:w="495"/>
        <w:gridCol w:w="705"/>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42,711,453 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1,309,462 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Proposal 3 - Say-on-Pay Proposal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By advisory vote of the stockholders, the Company’s executive compensation for the year ended December 31, 2025 was not approved.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final voting results for the Say-on-Pay Proposal were as follows: </w:t>
      </w:r>
    </w:p>
    <w:p>
      <w:pPr>
        <w:pStyle w:val="TextBody"/>
        <w:bidi w:val="0"/>
        <w:spacing w:before="0" w:after="0"/>
        <w:jc w:val="both"/>
        <w:rPr/>
      </w:pPr>
      <w:r>
        <w:rPr/>
      </w:r>
    </w:p>
    <w:tbl>
      <w:tblPr>
        <w:tblW w:w="6732" w:type="dxa"/>
        <w:jc w:val="left"/>
        <w:tblInd w:w="0" w:type="dxa"/>
        <w:tblLayout w:type="fixed"/>
        <w:tblCellMar>
          <w:top w:w="28" w:type="dxa"/>
          <w:left w:w="28" w:type="dxa"/>
          <w:bottom w:w="28" w:type="dxa"/>
          <w:right w:w="28" w:type="dxa"/>
        </w:tblCellMar>
      </w:tblPr>
      <w:tblGrid>
        <w:gridCol w:w="583"/>
        <w:gridCol w:w="513"/>
        <w:gridCol w:w="302"/>
        <w:gridCol w:w="109"/>
        <w:gridCol w:w="109"/>
        <w:gridCol w:w="109"/>
        <w:gridCol w:w="540"/>
        <w:gridCol w:w="541"/>
        <w:gridCol w:w="436"/>
        <w:gridCol w:w="109"/>
        <w:gridCol w:w="109"/>
        <w:gridCol w:w="109"/>
        <w:gridCol w:w="380"/>
        <w:gridCol w:w="380"/>
        <w:gridCol w:w="381"/>
        <w:gridCol w:w="109"/>
        <w:gridCol w:w="109"/>
        <w:gridCol w:w="109"/>
        <w:gridCol w:w="495"/>
        <w:gridCol w:w="495"/>
        <w:gridCol w:w="705"/>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19,545,712 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20,055,744 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4,362,333 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Proposal 4 – Advisory Vote on Frequency of Say-on-Pay Votes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stockholders approved, on a non-binding and advisory basis, holding the advisory vote on compensation paid to the Company’s named executive officers every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final voting results for the Say-on-Pay Frequency Proposal were as follows: </w:t>
      </w:r>
    </w:p>
    <w:p>
      <w:pPr>
        <w:pStyle w:val="TextBody"/>
        <w:bidi w:val="0"/>
        <w:spacing w:before="0" w:after="0"/>
        <w:jc w:val="both"/>
        <w:rPr/>
      </w:pPr>
      <w:r>
        <w:rPr/>
      </w:r>
    </w:p>
    <w:tbl>
      <w:tblPr>
        <w:tblW w:w="6028" w:type="dxa"/>
        <w:jc w:val="left"/>
        <w:tblInd w:w="0" w:type="dxa"/>
        <w:tblLayout w:type="fixed"/>
        <w:tblCellMar>
          <w:top w:w="28" w:type="dxa"/>
          <w:left w:w="28" w:type="dxa"/>
          <w:bottom w:w="28" w:type="dxa"/>
          <w:right w:w="28" w:type="dxa"/>
        </w:tblCellMar>
      </w:tblPr>
      <w:tblGrid>
        <w:gridCol w:w="583"/>
        <w:gridCol w:w="513"/>
        <w:gridCol w:w="294"/>
        <w:gridCol w:w="109"/>
        <w:gridCol w:w="109"/>
        <w:gridCol w:w="109"/>
        <w:gridCol w:w="334"/>
        <w:gridCol w:w="334"/>
        <w:gridCol w:w="336"/>
        <w:gridCol w:w="109"/>
        <w:gridCol w:w="109"/>
        <w:gridCol w:w="109"/>
        <w:gridCol w:w="540"/>
        <w:gridCol w:w="541"/>
        <w:gridCol w:w="386"/>
        <w:gridCol w:w="109"/>
        <w:gridCol w:w="109"/>
        <w:gridCol w:w="109"/>
        <w:gridCol w:w="347"/>
        <w:gridCol w:w="347"/>
        <w:gridCol w:w="492"/>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Abstentions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26,643,323 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13,017,869 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271" w:type="dxa"/>
        <w:jc w:val="center"/>
        <w:tblInd w:w="0" w:type="dxa"/>
        <w:tblLayout w:type="fixed"/>
        <w:tblCellMar>
          <w:top w:w="28" w:type="dxa"/>
          <w:left w:w="28" w:type="dxa"/>
          <w:bottom w:w="28" w:type="dxa"/>
          <w:right w:w="28" w:type="dxa"/>
        </w:tblCellMar>
      </w:tblPr>
      <w:tblGrid>
        <w:gridCol w:w="640"/>
        <w:gridCol w:w="563"/>
        <w:gridCol w:w="566"/>
        <w:gridCol w:w="709"/>
        <w:gridCol w:w="709"/>
        <w:gridCol w:w="71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June 11,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35"/>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5381</Characters>
  <CharactersWithSpaces>6314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