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ind w:left="0" w:right="0" w:firstLine="135"/>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ind w:left="0" w:right="0" w:firstLine="135"/>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ind w:left="0" w:right="0" w:firstLine="135"/>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May 11, 2026</w:t>
      </w:r>
      <w:r>
        <w:rPr>
          <w:color w:val="000000"/>
        </w:rPr>
        <w:t xml:space="preserve">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0"/>
        </w:rPr>
      </w:pPr>
      <w:r>
        <w:rPr>
          <w:rFonts w:ascii="Arial;sans-serif" w:hAnsi="Arial;sans-serif"/>
          <w:b/>
          <w:color w:val="000000"/>
          <w:sz w:val="20"/>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6" w:type="dxa"/>
        <w:jc w:val="center"/>
        <w:tblInd w:w="0" w:type="dxa"/>
        <w:tblLayout w:type="fixed"/>
        <w:tblCellMar>
          <w:top w:w="28" w:type="dxa"/>
          <w:left w:w="28" w:type="dxa"/>
          <w:bottom w:w="28" w:type="dxa"/>
          <w:right w:w="28" w:type="dxa"/>
        </w:tblCellMar>
      </w:tblPr>
      <w:tblGrid>
        <w:gridCol w:w="935"/>
        <w:gridCol w:w="821"/>
        <w:gridCol w:w="824"/>
        <w:gridCol w:w="415"/>
        <w:gridCol w:w="415"/>
        <w:gridCol w:w="416"/>
        <w:gridCol w:w="474"/>
        <w:gridCol w:w="474"/>
        <w:gridCol w:w="672"/>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20"/>
              </w:rPr>
              <w:t xml:space="preserve">incorporation ) </w:t>
            </w: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001-38180</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(Commission</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File No.)</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81-2717873</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bl>
    <w:tbl>
      <w:tblPr>
        <w:tblW w:w="5113" w:type="dxa"/>
        <w:jc w:val="center"/>
        <w:tblInd w:w="0" w:type="dxa"/>
        <w:tblLayout w:type="fixed"/>
        <w:tblCellMar>
          <w:top w:w="28" w:type="dxa"/>
          <w:left w:w="28" w:type="dxa"/>
          <w:bottom w:w="28" w:type="dxa"/>
          <w:right w:w="28" w:type="dxa"/>
        </w:tblCellMar>
      </w:tblPr>
      <w:tblGrid>
        <w:gridCol w:w="1473"/>
        <w:gridCol w:w="1292"/>
        <w:gridCol w:w="1299"/>
        <w:gridCol w:w="307"/>
        <w:gridCol w:w="307"/>
        <w:gridCol w:w="435"/>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 xml:space="preserve">6325 South Rainbow Boulevard, Suite 420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Las Vegas, Nevada</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89118</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20"/>
        </w:rPr>
        <w:t>Securities registered pursuant to Section 12(b) of the Act</w:t>
      </w:r>
      <w:r>
        <w:rPr>
          <w:rFonts w:ascii="Arial;sans-serif" w:hAnsi="Arial;sans-serif"/>
          <w:b/>
          <w:color w:val="000000"/>
          <w:sz w:val="20"/>
        </w:rPr>
        <w:t>:</w:t>
      </w:r>
    </w:p>
    <w:tbl>
      <w:tblPr>
        <w:tblW w:w="8998" w:type="dxa"/>
        <w:jc w:val="center"/>
        <w:tblInd w:w="0" w:type="dxa"/>
        <w:tblLayout w:type="fixed"/>
        <w:tblCellMar>
          <w:top w:w="28" w:type="dxa"/>
          <w:left w:w="28" w:type="dxa"/>
          <w:bottom w:w="28" w:type="dxa"/>
          <w:right w:w="28" w:type="dxa"/>
        </w:tblCellMar>
      </w:tblPr>
      <w:tblGrid>
        <w:gridCol w:w="1132"/>
        <w:gridCol w:w="996"/>
        <w:gridCol w:w="1007"/>
        <w:gridCol w:w="534"/>
        <w:gridCol w:w="534"/>
        <w:gridCol w:w="536"/>
        <w:gridCol w:w="1245"/>
        <w:gridCol w:w="1245"/>
        <w:gridCol w:w="1769"/>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w:t>
            </w:r>
          </w:p>
        </w:tc>
        <w:tc>
          <w:tcPr>
            <w:tcW w:w="42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1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$0.0001 par value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HFFG</w:t>
            </w:r>
          </w:p>
        </w:tc>
        <w:tc>
          <w:tcPr>
            <w:tcW w:w="42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Nasdaq Capital Market</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May 11, 2026, HF Foods Group Inc. (the “Company”) announced its financial results for the year and quarter ended March 31, 2026 in a press release. The full text of the press release is furnished as Exhibit 99.1 to this Current Report on Form 8-K (this “Current Report”).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furnished under Item 2.02 of this Current Report (including Exhibit 99.1) is deemed to be “furnished” and shall not be deemed “filed” for the purpose of Section 18 of the Securities Exchange Act of 1934, as amended (the “Exchange Act”), or otherwise subject to the liabilities of that Section, nor shall such information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w:t>
      </w:r>
      <w:r>
        <w:rPr>
          <w:color w:val="000000"/>
        </w:rPr>
        <w:t xml:space="preserve"> </w:t>
      </w:r>
      <w:r>
        <w:rPr>
          <w:rFonts w:ascii="Arial;sans-serif" w:hAnsi="Arial;sans-serif"/>
          <w:b w:val="false"/>
          <w:i/>
          <w:color w:val="000000"/>
          <w:sz w:val="20"/>
        </w:rPr>
        <w:t>Exhibits</w:t>
      </w:r>
    </w:p>
    <w:p>
      <w:pPr>
        <w:pStyle w:val="TextBody"/>
        <w:bidi w:val="0"/>
        <w:spacing w:before="0" w:after="0"/>
        <w:jc w:val="left"/>
        <w:rPr/>
      </w:pPr>
      <w:r>
        <w:rPr/>
      </w:r>
    </w:p>
    <w:tbl>
      <w:tblPr>
        <w:tblW w:w="8441"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37"/>
        <w:gridCol w:w="2037"/>
        <w:gridCol w:w="288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Description of Exhibits</w:t>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pPr>
            <w:hyperlink w:anchor="exhibit991earningspressrel.htm">
              <w:r>
                <w:rPr>
                  <w:rStyle w:val="InternetLink"/>
                  <w:rFonts w:ascii="Arial;sans-serif" w:hAnsi="Arial;sans-serif"/>
                  <w:b w:val="false"/>
                  <w:color w:val="0000FF"/>
                  <w:sz w:val="20"/>
                  <w:u w:val="single"/>
                </w:rPr>
                <w:t>Company press release dated May 11, 2026</w:t>
              </w:r>
            </w:hyperlink>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527" w:type="dxa"/>
        <w:jc w:val="center"/>
        <w:tblInd w:w="0" w:type="dxa"/>
        <w:tblLayout w:type="fixed"/>
        <w:tblCellMar>
          <w:top w:w="28" w:type="dxa"/>
          <w:left w:w="28" w:type="dxa"/>
          <w:bottom w:w="28" w:type="dxa"/>
          <w:right w:w="28" w:type="dxa"/>
        </w:tblCellMar>
      </w:tblPr>
      <w:tblGrid>
        <w:gridCol w:w="662"/>
        <w:gridCol w:w="581"/>
        <w:gridCol w:w="587"/>
        <w:gridCol w:w="774"/>
        <w:gridCol w:w="774"/>
        <w:gridCol w:w="777"/>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11, 2026</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before="0" w:after="0"/>
        <w:jc w:val="center"/>
        <w:rPr/>
      </w:pPr>
      <w:r>
        <w:rPr/>
        <w:drawing>
          <wp:inline distT="0" distB="0" distL="0" distR="0">
            <wp:extent cx="2743200" cy="838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Reports First Quarter 2026 Financial Results</w:t>
      </w:r>
    </w:p>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i/>
          <w:color w:val="000000"/>
          <w:sz w:val="18"/>
        </w:rPr>
      </w:pPr>
      <w:r>
        <w:rPr>
          <w:rFonts w:ascii="Arial;sans-serif" w:hAnsi="Arial;sans-serif"/>
          <w:b w:val="false"/>
          <w:i/>
          <w:color w:val="000000"/>
          <w:sz w:val="18"/>
        </w:rPr>
        <w:t>Net Revenue increased 4.5% to $312.0 million</w:t>
      </w:r>
    </w:p>
    <w:p>
      <w:pPr>
        <w:pStyle w:val="TextBody"/>
        <w:bidi w:val="0"/>
        <w:spacing w:lineRule="auto" w:line="288" w:before="0" w:after="60"/>
        <w:jc w:val="center"/>
        <w:rPr/>
      </w:pPr>
      <w:r>
        <w:rPr>
          <w:rFonts w:ascii="Arial;sans-serif" w:hAnsi="Arial;sans-serif"/>
          <w:b w:val="false"/>
          <w:i/>
          <w:color w:val="000000"/>
          <w:sz w:val="18"/>
        </w:rPr>
        <w:t>GAAP Net Income increased 188.6%</w:t>
      </w:r>
      <w:r>
        <w:rPr>
          <w:color w:val="000000"/>
        </w:rPr>
        <w:t xml:space="preserve"> </w:t>
      </w:r>
      <w:r>
        <w:rPr>
          <w:rFonts w:ascii="Arial;sans-serif" w:hAnsi="Arial;sans-serif"/>
          <w:b w:val="false"/>
          <w:i/>
          <w:color w:val="000000"/>
          <w:sz w:val="18"/>
        </w:rPr>
        <w:t>to $1.4 million</w:t>
      </w:r>
    </w:p>
    <w:p>
      <w:pPr>
        <w:pStyle w:val="TextBody"/>
        <w:bidi w:val="0"/>
        <w:spacing w:lineRule="auto" w:line="288" w:before="0" w:after="60"/>
        <w:jc w:val="center"/>
        <w:rPr/>
      </w:pPr>
      <w:r>
        <w:rPr>
          <w:rFonts w:ascii="Arial;sans-serif" w:hAnsi="Arial;sans-serif"/>
          <w:b w:val="false"/>
          <w:i/>
          <w:color w:val="000000"/>
          <w:sz w:val="18"/>
        </w:rPr>
        <w:t>Adjusted Net Income decreased 3.6%</w:t>
      </w:r>
      <w:r>
        <w:rPr>
          <w:color w:val="000000"/>
        </w:rPr>
        <w:t xml:space="preserve"> </w:t>
      </w:r>
      <w:r>
        <w:rPr>
          <w:rFonts w:ascii="Arial;sans-serif" w:hAnsi="Arial;sans-serif"/>
          <w:b w:val="false"/>
          <w:color w:val="000000"/>
          <w:sz w:val="18"/>
        </w:rPr>
        <w:t>to</w:t>
      </w:r>
      <w:r>
        <w:rPr>
          <w:color w:val="000000"/>
        </w:rPr>
        <w:t xml:space="preserve"> </w:t>
      </w:r>
      <w:r>
        <w:rPr>
          <w:rFonts w:ascii="Arial;sans-serif" w:hAnsi="Arial;sans-serif"/>
          <w:b w:val="false"/>
          <w:i/>
          <w:color w:val="000000"/>
          <w:sz w:val="18"/>
        </w:rPr>
        <w:t>$3.4 million</w:t>
      </w:r>
    </w:p>
    <w:p>
      <w:pPr>
        <w:pStyle w:val="TextBody"/>
        <w:bidi w:val="0"/>
        <w:spacing w:lineRule="auto" w:line="288" w:before="0" w:after="60"/>
        <w:jc w:val="center"/>
        <w:rPr>
          <w:rFonts w:ascii="Arial;sans-serif" w:hAnsi="Arial;sans-serif"/>
          <w:b w:val="false"/>
          <w:i/>
          <w:color w:val="000000"/>
          <w:sz w:val="18"/>
        </w:rPr>
      </w:pPr>
      <w:r>
        <w:rPr>
          <w:rFonts w:ascii="Arial;sans-serif" w:hAnsi="Arial;sans-serif"/>
          <w:b w:val="false"/>
          <w:i/>
          <w:color w:val="000000"/>
          <w:sz w:val="18"/>
        </w:rPr>
        <w:t>Adjusted EBITDA increased 3.8% to $ $10.1 million</w:t>
      </w:r>
    </w:p>
    <w:p>
      <w:pPr>
        <w:pStyle w:val="TextBody"/>
        <w:bidi w:val="0"/>
        <w:spacing w:lineRule="auto" w:line="288" w:before="240" w:after="283"/>
        <w:jc w:val="both"/>
        <w:rPr/>
      </w:pPr>
      <w:r>
        <w:rPr>
          <w:rFonts w:ascii="Arial;sans-serif" w:hAnsi="Arial;sans-serif"/>
          <w:b/>
          <w:color w:val="000000"/>
          <w:sz w:val="18"/>
        </w:rPr>
        <w:t>Las Vegas, NV – May 11, 2026</w:t>
      </w:r>
      <w:r>
        <w:rPr>
          <w:color w:val="000000"/>
        </w:rPr>
        <w:t xml:space="preserve"> – </w:t>
      </w:r>
      <w:r>
        <w:rPr>
          <w:rFonts w:ascii="Arial;sans-serif" w:hAnsi="Arial;sans-serif"/>
          <w:b w:val="false"/>
          <w:color w:val="000000"/>
          <w:sz w:val="18"/>
        </w:rPr>
        <w:t>HF Foods Group Inc. (NASDAQ: HFFG) (“HF Foods” or the “Company”), a leading distributor of international foodservice solutions to Asian restaurants and other businesses across the United States, today announced results for the first quarter ended March 31, 2026.</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First Quarter 2026 Financial Results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4"/>
        <w:gridCol w:w="1101"/>
        <w:gridCol w:w="1105"/>
        <w:gridCol w:w="109"/>
        <w:gridCol w:w="109"/>
        <w:gridCol w:w="109"/>
        <w:gridCol w:w="109"/>
        <w:gridCol w:w="109"/>
        <w:gridCol w:w="109"/>
        <w:gridCol w:w="585"/>
        <w:gridCol w:w="2294"/>
        <w:gridCol w:w="302"/>
        <w:gridCol w:w="109"/>
        <w:gridCol w:w="109"/>
        <w:gridCol w:w="109"/>
        <w:gridCol w:w="425"/>
        <w:gridCol w:w="1455"/>
        <w:gridCol w:w="219"/>
        <w:gridCol w:w="109"/>
        <w:gridCol w:w="109"/>
        <w:gridCol w:w="109"/>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over Prior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50,526 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net income</w:t>
            </w:r>
            <w:r>
              <w:rPr>
                <w:rFonts w:ascii="Arial;sans-serif" w:hAnsi="Arial;sans-serif"/>
                <w:b/>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earnings per share</w:t>
            </w:r>
            <w:r>
              <w:rPr>
                <w:rFonts w:ascii="Arial;sans-serif" w:hAnsi="Arial;sans-serif"/>
                <w:b/>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pPr>
      <w:r>
        <w:rPr>
          <w:rFonts w:ascii="Arial;sans-serif" w:hAnsi="Arial;sans-serif"/>
          <w:b w:val="false"/>
          <w:color w:val="000000"/>
          <w:sz w:val="10"/>
        </w:rPr>
        <w:t>(1)    </w:t>
      </w:r>
      <w:r>
        <w:rPr>
          <w:rFonts w:ascii="Arial;sans-serif" w:hAnsi="Arial;sans-serif"/>
          <w:b w:val="false"/>
          <w:color w:val="000000"/>
          <w:sz w:val="16"/>
        </w:rPr>
        <w:t>Adjusted EBITDA is defined as net income (loss) before interest expense, interest income, income taxes and depreciation and amortization, further adjusted to exclude certain unusual, non-cash, or non-recurring expenses.</w:t>
      </w:r>
    </w:p>
    <w:p>
      <w:pPr>
        <w:pStyle w:val="TextBody"/>
        <w:bidi w:val="0"/>
        <w:spacing w:lineRule="auto" w:line="288" w:before="0" w:after="0"/>
        <w:ind w:left="0" w:right="0" w:hanging="360"/>
        <w:jc w:val="both"/>
        <w:rPr/>
      </w:pPr>
      <w:r>
        <w:rPr>
          <w:rFonts w:ascii="Arial;sans-serif" w:hAnsi="Arial;sans-serif"/>
          <w:b w:val="false"/>
          <w:color w:val="000000"/>
          <w:sz w:val="10"/>
        </w:rPr>
        <w:t>(2)    </w:t>
      </w:r>
      <w:r>
        <w:rPr>
          <w:rFonts w:ascii="Arial;sans-serif" w:hAnsi="Arial;sans-serif"/>
          <w:b w:val="false"/>
          <w:color w:val="000000"/>
          <w:sz w:val="16"/>
        </w:rPr>
        <w:t>Adjusted net income and adjusted earnings per share are based on net income attributable to HF Foods Group Inc.</w:t>
      </w:r>
    </w:p>
    <w:p>
      <w:pPr>
        <w:pStyle w:val="TextBody"/>
        <w:bidi w:val="0"/>
        <w:spacing w:before="0" w:after="0"/>
        <w:ind w:left="0" w:right="0" w:hanging="360"/>
        <w:jc w:val="both"/>
        <w:rPr/>
      </w:pPr>
      <w:r>
        <w:rPr/>
      </w:r>
    </w:p>
    <w:p>
      <w:pPr>
        <w:pStyle w:val="TextBody"/>
        <w:bidi w:val="0"/>
        <w:spacing w:lineRule="auto" w:line="288" w:before="240" w:after="283"/>
        <w:ind w:left="0" w:right="0" w:hanging="360"/>
        <w:jc w:val="both"/>
        <w:rPr>
          <w:rFonts w:ascii="Arial;sans-serif" w:hAnsi="Arial;sans-serif"/>
          <w:b/>
          <w:color w:val="000000"/>
          <w:sz w:val="18"/>
        </w:rPr>
      </w:pPr>
      <w:r>
        <w:rPr>
          <w:rFonts w:ascii="Arial;sans-serif" w:hAnsi="Arial;sans-serif"/>
          <w:b/>
          <w:color w:val="000000"/>
          <w:sz w:val="18"/>
        </w:rPr>
        <w:t>Management Commentary</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Arial;sans-serif" w:hAnsi="Arial;sans-serif"/>
          <w:b w:val="false"/>
          <w:color w:val="000000"/>
          <w:sz w:val="18"/>
        </w:rPr>
        <w:t>Our first quarter performance demonstrated continued momentum from our transformation initiatives even as the broader foodservice industry navigated ongoing headwinds,” said Felix Lin, President and Chief Executive Officer of HF Foods. “Our results reflect meaningful progress across our strategic priorities, including the operational benefits we are realizing from our consolidated sales call center structure, continued advancement of our digital infrastructure following our full ERP implementation, and significant milestones in our facilities expansion program. The recent acquisition of our Chicago warehouse and the near-completion of our Charlotte facility position us to unlock substantial cross-selling opportunities in high-growth markets across the Southeast and Midwest. We remain focused on driving operational efficiency, capturing organic growth through network optimization and cross-selling, and selectively pursuing M&amp;A opportunities that strengthen our unmatched competitive position as the leading nationwide distributor in the Asian specialty food category. While near-term cost pressures persist, we are confident in our long-</w:t>
      </w: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term growth trajectory and our ability to create sustained value for our shareholders as we execute against our strategic vision.” </w:t>
      </w:r>
    </w:p>
    <w:p>
      <w:pPr>
        <w:pStyle w:val="TextBody"/>
        <w:bidi w:val="0"/>
        <w:spacing w:lineRule="auto" w:line="276" w:before="240" w:after="283"/>
        <w:jc w:val="both"/>
        <w:rPr>
          <w:rFonts w:ascii="Arial;sans-serif" w:hAnsi="Arial;sans-serif"/>
          <w:b/>
          <w:color w:val="000000"/>
          <w:sz w:val="18"/>
        </w:rPr>
      </w:pPr>
      <w:r>
        <w:rPr>
          <w:rFonts w:ascii="Arial;sans-serif" w:hAnsi="Arial;sans-serif"/>
          <w:b/>
          <w:color w:val="000000"/>
          <w:sz w:val="18"/>
        </w:rPr>
        <w:t>First Quarter 2026 Results</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Net revenue was $312.0 million for the quarter compared to $298.4 million in the prior year period, an increase of $13.6 million, or 4.5%. The increase was primarily due to volume growth and pricing improvement in Seafood followed by volume growth for Commodity.</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Gross profit slightly decreased by 0.8% to $50.5 million for the period, compared to $51.0 million in the prior year period. The decrease was primarily due to increased sales in lower margin products like Seafood and an uptick in landed costs. Gross profit margin decreased to 16.2% compared to 17.1% in the prior year period.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Distribution, selling and administrative expenses decreased by $0.3 million, or 0.6% to $49.5 million, compared to the prior year period mainly due to increased net revenue and a decrease in professional fees and bad debt expense, partially offset by an increase in auto &amp; truck expenses and depreciation. Distribution, selling and administrative expenses as a percentage of net revenue decreased to 15.9%, compared to 16.7% in the prior year period.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Net income was $1.4 million compared to net loss of $1.5 million in the prior year period. The improvement was primarily driven by a $2.0 million favorable change in fair value of interest rate swap contracts and a $1.7 million increase in other income mainly related to sale of a property. These favorable items were partially offset by a decrease in income tax benefit of $0.5 million.</w:t>
      </w:r>
    </w:p>
    <w:p>
      <w:pPr>
        <w:pStyle w:val="TextBody"/>
        <w:bidi w:val="0"/>
        <w:spacing w:lineRule="auto" w:line="288" w:before="240" w:after="283"/>
        <w:jc w:val="both"/>
        <w:rPr/>
      </w:pPr>
      <w:r>
        <w:rPr>
          <w:rFonts w:ascii="Arial;sans-serif" w:hAnsi="Arial;sans-serif"/>
          <w:b w:val="false"/>
          <w:color w:val="000000"/>
          <w:sz w:val="18"/>
        </w:rPr>
        <w:t>Adjusted EBITDA increased 3.8% to $10.1 million compared to $9.8 million in the prior year period, which was due to various items noted in the Adjusted EBITDA table included in “</w:t>
      </w:r>
      <w:r>
        <w:rPr>
          <w:rFonts w:ascii="Arial;sans-serif" w:hAnsi="Arial;sans-serif"/>
          <w:b w:val="false"/>
          <w:i/>
          <w:color w:val="000000"/>
          <w:sz w:val="18"/>
        </w:rPr>
        <w:t>Appendix A - Non-GAAP Financial Measures”</w:t>
      </w:r>
      <w:r>
        <w:rPr>
          <w:color w:val="000000"/>
        </w:rPr>
        <w:t xml:space="preserve"> </w:t>
      </w:r>
      <w:r>
        <w:rPr>
          <w:rFonts w:ascii="Arial;sans-serif" w:hAnsi="Arial;sans-serif"/>
          <w:b w:val="false"/>
          <w:color w:val="000000"/>
          <w:sz w:val="18"/>
        </w:rPr>
        <w:t>of this earnings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Cash Flow and Liquidity</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Cash provided by operating activities was $15.3 million for the three months ended March 31, 2026, compared to cash provided by operating activities of $6.9 million in the prior year period. Net cash provided by operating activities increased by $8.3 million primarily due to an increase in non-cash expense add-backs and increases in accounts payable balances, offset by the timing of working capital outlays mainly for inventory purchases and increases in our accounts receivable balances. As of March 31, 2026, the Company had cash of $11.1 million, checks issued not presented for payment of $5.0 million and access to approximately $55.2 million in additional funds through the $125.0 million line of credit, subject to a borrowing base calculation. The Company has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Earnings Call and Webcast</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HF Foods’ management team will host a live conference call to discuss its financial results today at 1:30 p.m. PT (4:30 p.m. ET). The link to the webcast will be available on the “Events” section of the Company’s Investor Relations website at https://investors.hffoodsgroup.com. Those interested in participating in the live call can dial 1-877-407-0752 or 1-201-389-0912. The webcast will be archived and available for replay.</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About HF Foods Group Inc.</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HF Foods Group Inc. is a leading marketer and distributor of fresh produce, frozen and dry food, and non-food products to primarily Asian restaurants and other foodservice customers throughout the United States. HF Foods aims to supply the increasing demand for Asian American restaurant cuisine, leveraging its nationwide network of distribution centers and its strong relations with growers and suppliers of fresh, high-quality specialty restaurant food products and supplies in the US and Asia. Headquartered in Las Vegas, Nevada, HF Foods trades on Nasdaq under the symbol “HFFG”. For more information, please visit www.hffoodsgroup.com.</w:t>
      </w:r>
    </w:p>
    <w:p>
      <w:pPr>
        <w:pStyle w:val="TextBody"/>
        <w:bidi w:val="0"/>
        <w:spacing w:lineRule="auto" w:line="288" w:before="240" w:after="283"/>
        <w:ind w:left="0" w:right="0" w:hanging="14"/>
        <w:jc w:val="both"/>
        <w:rPr>
          <w:rFonts w:ascii="Arial;sans-serif" w:hAnsi="Arial;sans-serif"/>
          <w:b/>
          <w:color w:val="000000"/>
          <w:sz w:val="18"/>
        </w:rPr>
      </w:pPr>
      <w:r>
        <w:rPr>
          <w:rFonts w:ascii="Arial;sans-serif" w:hAnsi="Arial;sans-serif"/>
          <w:b/>
          <w:color w:val="000000"/>
          <w:sz w:val="18"/>
        </w:rPr>
        <w:t>Contact:</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ICR</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Anna Kate Heller</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hffoodsgroup@icrinc.com</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All statements in this news release other than statements of historical facts are, or may be deemed to be, “forward-looking statements” within the meaning of the Private Securities Litigation Reform Act of 1995 and contain our current expectations about our future results. We have attempted to identify any forward-looking statements by using words such as “aims,” “continues,” “expects,” “plans,” “will,” and other similar expressions. Although we believe that the expectations reflected in all of our forward-looking statements are reasonable, we can give no assurance that such expectations will prove to be correct. Such statements are not guarantees of future performance or events and are subject to known and unknown risks and uncertainties that could cause the Company’s actual results, events or financial positions to differ materially from those included within or implied by such forward-looking statements. Such factors include, but are not limited to, risks relating to our ability to consummate our operational transformation plan as anticipated, risks relating to the impact of our operational plan on our sales and efficiencies, risks relating to the impact of demographic trends on demand for the products we distribute, risks related to potential increases in tariff-related costs, statements of assumption underlying any of the foregoing, and other factors including those disclosed under the caption “Risk Factors” in our Annual Report on Form 10-K for the year ended December 31, 2025 and other filings with the Securities and Exchange Commission (the “SEC”). Readers are cautioned not to place undue reliance on these forward-looking statements, which speak only as of the date made. Except as required by law, we undertake no obligation to disclose any revision to these forward-looking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6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26"/>
        <w:gridCol w:w="2119"/>
        <w:gridCol w:w="2133"/>
        <w:gridCol w:w="257"/>
        <w:gridCol w:w="1011"/>
        <w:gridCol w:w="133"/>
        <w:gridCol w:w="109"/>
        <w:gridCol w:w="109"/>
        <w:gridCol w:w="109"/>
        <w:gridCol w:w="317"/>
        <w:gridCol w:w="1246"/>
        <w:gridCol w:w="236"/>
      </w:tblGrid>
      <w:tr>
        <w:trPr/>
        <w:tc>
          <w:tcPr>
            <w:tcW w:w="24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2126" w:type="dxa"/>
            <w:gridSpan w:val="6"/>
            <w:tcBorders/>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66,237 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191,956 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 net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 trade names and other intangibles, net</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541,529 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 of credit</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net</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finance leases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operating leases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172,458 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164,768 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finance leases, non-current</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operating leases, non-current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337,943 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606,243 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(394,817)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(396,042)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 ATTRIBUTABLE TO HF FOODS GROUP INC.</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202,051 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204,687 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203,586 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545,882 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541,529 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 AND COMPREHENSIVE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8157" w:type="dxa"/>
        <w:jc w:val="center"/>
        <w:tblInd w:w="0" w:type="dxa"/>
        <w:tblLayout w:type="fixed"/>
        <w:tblCellMar>
          <w:top w:w="28" w:type="dxa"/>
          <w:left w:w="28" w:type="dxa"/>
          <w:bottom w:w="28" w:type="dxa"/>
          <w:right w:w="28" w:type="dxa"/>
        </w:tblCellMar>
      </w:tblPr>
      <w:tblGrid>
        <w:gridCol w:w="1667"/>
        <w:gridCol w:w="1464"/>
        <w:gridCol w:w="1474"/>
        <w:gridCol w:w="109"/>
        <w:gridCol w:w="109"/>
        <w:gridCol w:w="109"/>
        <w:gridCol w:w="221"/>
        <w:gridCol w:w="866"/>
        <w:gridCol w:w="114"/>
        <w:gridCol w:w="114"/>
        <w:gridCol w:w="114"/>
        <w:gridCol w:w="114"/>
        <w:gridCol w:w="221"/>
        <w:gridCol w:w="866"/>
        <w:gridCol w:w="114"/>
        <w:gridCol w:w="109"/>
        <w:gridCol w:w="109"/>
        <w:gridCol w:w="109"/>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Income tax benefit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 attributable to HF Foods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53,053,610 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52,737,650 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53,933,051 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52,737,650 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24"/>
        <w:gridCol w:w="2289"/>
        <w:gridCol w:w="2304"/>
        <w:gridCol w:w="238"/>
        <w:gridCol w:w="815"/>
        <w:gridCol w:w="123"/>
        <w:gridCol w:w="123"/>
        <w:gridCol w:w="123"/>
        <w:gridCol w:w="123"/>
        <w:gridCol w:w="238"/>
        <w:gridCol w:w="815"/>
        <w:gridCol w:w="123"/>
        <w:gridCol w:w="109"/>
        <w:gridCol w:w="158"/>
      </w:tblGrid>
      <w:tr>
        <w:trPr/>
        <w:tc>
          <w:tcPr>
            <w:tcW w:w="2624"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income (loss)</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Adjustments to reconcile net income (loss)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from disposal of property and equipment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Credit for expected credit losses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tax benefit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non-cash expense (income)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15,288 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(11,119)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393,818 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315,008 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line of credit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(387,795)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(313,714)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long-term debt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debt financing costs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obligations under finance leases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ATM sale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 of noncontrolling interests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cash used in financing activities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increase in cash</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beginning of the period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end of the period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11,061 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16,099 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Appendix 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Three Months Ended March 31, 2026 and 2025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Discussion of our financial results includes certain non-GAAP financial measures, including EBITDA, Adjusted EBITDA, non-GAAP net income (loss) attributable to HF Foods Group Inc. and non-GAAP EPS (“earnings (loss) per share”), that we believe provides an additional tool for investors to use in evaluating ongoing operating results and trends and in comparing our financial performance with other companies in the same industry, many of which present similar non-GAAP financial measures to investors. The definitions of EBITDA, Adjusted EBITDA, non-GAAP net income (loss) attributable to HF Foods Group Inc. and non-GAAP EPS may not be the same as similarly titled measures used by other companies in the industry. EBITDA, Adjusted EBITDA, non-GAAP net income (loss) attributable to HF Foods Group Inc. and non-GAAP EPS are not defined under GAAP and are subject to important limitations as analytical tools and should not be considered in isolation or as substitutes for analysis of our financial results as reported under GAAP.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We use non-GAAP financial measures to supplement our GAAP financial results. Management uses EBITDA, defined as net income (loss) before interest expense, interest income, income taxes, and depreciation and amortization to measure operating performance. In addition, management uses Adjusted EBITDA, defined as net income (loss) before interest expense, interest income, income taxes, and depreciation and amortization, further adjusted to exclude certain unusual, non-cash, or non-recurring expenses. We believe that Adjusted EBITDA is less susceptible to variances in actual performance resulting from non-recurring expenses, and other non-cash charges, provides useful information for our investors and is more reflective of other factors that affect our operating performance.</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We believe non-GAAP net income (loss) attributable to HF Foods Group Inc. and non-GAAP EPS are useful measures of operating performance because these measures exclude certain items not reflective of our core operating performance. Non-GAAP net income (loss) attributable to HF Foods Group Inc. is defined as net income (loss) attributable to HF Foods Group Inc. adjusted for amortization of intangibles, change in fair value of interest rate swaps, stock based compensation, transaction related costs, transformational project costs and certain unusual, non-cash, or non-recurring expenses. We believe that non-GAAP net income (loss) attributable to HF Foods Group Inc. and non-GAAP EPS facilitates period-over-period comparisons and provides additional clarity for investors to better evaluate our operating results. We present EBITDA, Adjusted EBITDA, non-GAAP net income (loss) attributable to HF Foods Group Inc. and non-GAAP EPS in order to provide supplemental information that we consider relevant for the readers of our consolidated financial statements included elsewhere in its reports filed with the SEC, including its most recent Annual Report on Form 10-K, and such information is not meant to replace or supersede U.S. GAAP measures. Reconciliations of the non-GAAP financial measures to their most comparable GAAP financial measures are included in the schedules attached to this press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5"/>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RECONCILIATION OF NET INCOME (LOSS) TO EBITDA AND ADJUSTED EBITDA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8958" w:type="dxa"/>
        <w:jc w:val="left"/>
        <w:tblInd w:w="0" w:type="dxa"/>
        <w:tblLayout w:type="fixed"/>
        <w:tblCellMar>
          <w:top w:w="28" w:type="dxa"/>
          <w:left w:w="28" w:type="dxa"/>
          <w:bottom w:w="28" w:type="dxa"/>
          <w:right w:w="28" w:type="dxa"/>
        </w:tblCellMar>
      </w:tblPr>
      <w:tblGrid>
        <w:gridCol w:w="1531"/>
        <w:gridCol w:w="1344"/>
        <w:gridCol w:w="1354"/>
        <w:gridCol w:w="109"/>
        <w:gridCol w:w="109"/>
        <w:gridCol w:w="109"/>
        <w:gridCol w:w="488"/>
        <w:gridCol w:w="337"/>
        <w:gridCol w:w="339"/>
        <w:gridCol w:w="252"/>
        <w:gridCol w:w="252"/>
        <w:gridCol w:w="252"/>
        <w:gridCol w:w="488"/>
        <w:gridCol w:w="344"/>
        <w:gridCol w:w="346"/>
        <w:gridCol w:w="109"/>
        <w:gridCol w:w="109"/>
        <w:gridCol w:w="109"/>
        <w:gridCol w:w="361"/>
        <w:gridCol w:w="254"/>
        <w:gridCol w:w="362"/>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7,521</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11,292</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Business transformation costs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non-routine (income) expense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Executive transition and organizational redesign</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10,146</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pPr>
      <w:r>
        <w:rPr>
          <w:rFonts w:ascii="Arial;sans-serif" w:hAnsi="Arial;sans-serif"/>
          <w:b/>
          <w:color w:val="000000"/>
          <w:sz w:val="10"/>
        </w:rPr>
        <w:t>(1)</w:t>
      </w:r>
      <w:r>
        <w:rPr>
          <w:color w:val="000000"/>
        </w:rPr>
        <w:t>    </w:t>
      </w:r>
      <w:r>
        <w:rPr>
          <w:rFonts w:ascii="Arial;sans-serif" w:hAnsi="Arial;sans-serif"/>
          <w:b w:val="false"/>
          <w:color w:val="000000"/>
          <w:sz w:val="16"/>
        </w:rPr>
        <w:t>Represents costs associated with the launch and continued implementation of strategic projects including supply chain management. improvements and technology infrastructure initiatives.</w:t>
      </w:r>
    </w:p>
    <w:p>
      <w:pPr>
        <w:pStyle w:val="TextBody"/>
        <w:bidi w:val="0"/>
        <w:spacing w:lineRule="auto" w:line="288" w:before="0" w:after="0"/>
        <w:ind w:left="0" w:right="0" w:hanging="360"/>
        <w:jc w:val="both"/>
        <w:rPr/>
      </w:pPr>
      <w:r>
        <w:rPr>
          <w:rFonts w:ascii="Arial;sans-serif" w:hAnsi="Arial;sans-serif"/>
          <w:b/>
          <w:color w:val="000000"/>
          <w:sz w:val="10"/>
        </w:rPr>
        <w:t>(2)</w:t>
      </w:r>
      <w:r>
        <w:rPr>
          <w:color w:val="000000"/>
        </w:rPr>
        <w:t>    </w:t>
      </w:r>
      <w:r>
        <w:rPr>
          <w:rFonts w:ascii="Arial;sans-serif" w:hAnsi="Arial;sans-serif"/>
          <w:b w:val="false"/>
          <w:color w:val="000000"/>
          <w:sz w:val="16"/>
        </w:rPr>
        <w:t>Includes the gain on the sale of Utah facility in 2026, as well as legal and consulting costs related to various corporate projects and other strategic initiatives.</w:t>
      </w:r>
    </w:p>
    <w:p>
      <w:pPr>
        <w:pStyle w:val="TextBody"/>
        <w:bidi w:val="0"/>
        <w:spacing w:lineRule="auto" w:line="288" w:before="0" w:after="0"/>
        <w:ind w:left="0" w:right="0" w:hanging="360"/>
        <w:jc w:val="both"/>
        <w:rPr/>
      </w:pPr>
      <w:r>
        <w:rPr>
          <w:rFonts w:ascii="Arial;sans-serif" w:hAnsi="Arial;sans-serif"/>
          <w:b/>
          <w:color w:val="000000"/>
          <w:sz w:val="10"/>
        </w:rPr>
        <w:t>(3)</w:t>
      </w:r>
      <w:r>
        <w:rPr>
          <w:color w:val="000000"/>
        </w:rPr>
        <w:t>    </w:t>
      </w:r>
      <w:r>
        <w:rPr>
          <w:rFonts w:ascii="Arial;sans-serif" w:hAnsi="Arial;sans-serif"/>
          <w:b w:val="false"/>
          <w:color w:val="000000"/>
          <w:sz w:val="16"/>
        </w:rPr>
        <w:t>Includes severance and related expenses for the Company’s transition of executive officers and organizational redesign.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5"/>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5"/>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RECONCILIATION OF NET INCOME (LOSS) ATTRIBUTABLE TO HF FOODS GROUP INC.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TO NON-GAAP NET INCOME AND NON-GAAP EPS ATTRIBUTABLE TO HF FOODS GROUP INC.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share amounts)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present our non-GAAP net income (loss) and non-GAAP EPS for the three months ended March 31, 2026 and 2025 respectively, as well as reconciliations of each measure to their nearest GAAP equivalents: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84"/>
        <w:gridCol w:w="1776"/>
        <w:gridCol w:w="1793"/>
        <w:gridCol w:w="109"/>
        <w:gridCol w:w="109"/>
        <w:gridCol w:w="109"/>
        <w:gridCol w:w="469"/>
        <w:gridCol w:w="285"/>
        <w:gridCol w:w="286"/>
        <w:gridCol w:w="237"/>
        <w:gridCol w:w="237"/>
        <w:gridCol w:w="237"/>
        <w:gridCol w:w="469"/>
        <w:gridCol w:w="341"/>
        <w:gridCol w:w="342"/>
        <w:gridCol w:w="109"/>
        <w:gridCol w:w="109"/>
        <w:gridCol w:w="109"/>
        <w:gridCol w:w="361"/>
        <w:gridCol w:w="259"/>
        <w:gridCol w:w="375"/>
      </w:tblGrid>
      <w:tr>
        <w:trPr/>
        <w:tc>
          <w:tcPr>
            <w:tcW w:w="208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 (loss)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2,870</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intangibles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3,942</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Change in fair value of 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(income)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Aggregate adjustment for income taxes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Non-GAAP net income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3,350</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GAAP diluted earnings (loss) per common share attributable to HF Foods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0.05</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EPS difference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Non-GAAP diluted earnings per common share attributable to HF Foods </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Non-GAAP diluted weighted average number of shares (in thousands)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53,528</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pPr>
      <w:r>
        <w:rPr>
          <w:rFonts w:ascii="Arial;sans-serif" w:hAnsi="Arial;sans-serif"/>
          <w:b w:val="false"/>
          <w:color w:val="000000"/>
          <w:sz w:val="10"/>
        </w:rPr>
        <w:t xml:space="preserve">(1) </w:t>
      </w:r>
      <w:r>
        <w:rPr>
          <w:color w:val="000000"/>
        </w:rPr>
        <w:t>    </w:t>
      </w:r>
      <w:r>
        <w:rPr>
          <w:rFonts w:ascii="Arial;sans-serif" w:hAnsi="Arial;sans-serif"/>
          <w:b w:val="false"/>
          <w:color w:val="000000"/>
          <w:sz w:val="16"/>
        </w:rPr>
        <w:t xml:space="preserve">Represents costs associated with the launch and continued implementation of strategic projects including supply chain management improvements and technology infrastructure initiatives. </w:t>
      </w:r>
    </w:p>
    <w:p>
      <w:pPr>
        <w:pStyle w:val="TextBody"/>
        <w:bidi w:val="0"/>
        <w:spacing w:lineRule="auto" w:line="288" w:before="0" w:after="0"/>
        <w:ind w:left="0" w:right="0" w:hanging="360"/>
        <w:jc w:val="both"/>
        <w:rPr/>
      </w:pPr>
      <w:r>
        <w:rPr>
          <w:rFonts w:ascii="Arial;sans-serif" w:hAnsi="Arial;sans-serif"/>
          <w:b w:val="false"/>
          <w:color w:val="000000"/>
          <w:sz w:val="10"/>
        </w:rPr>
        <w:t>(2)</w:t>
      </w:r>
      <w:r>
        <w:rPr>
          <w:color w:val="000000"/>
        </w:rPr>
        <w:t>    </w:t>
      </w:r>
      <w:r>
        <w:rPr>
          <w:rFonts w:ascii="Arial;sans-serif" w:hAnsi="Arial;sans-serif"/>
          <w:b w:val="false"/>
          <w:color w:val="000000"/>
          <w:sz w:val="16"/>
        </w:rPr>
        <w:t>Includes the gain on the sale of Utah facility in 2026, as well as legal and consulting costs related to various corporate projects and other strategic initiatives.</w:t>
      </w:r>
    </w:p>
    <w:p>
      <w:pPr>
        <w:pStyle w:val="TextBody"/>
        <w:bidi w:val="0"/>
        <w:spacing w:lineRule="auto" w:line="288" w:before="0" w:after="0"/>
        <w:ind w:left="0" w:right="0" w:hanging="360"/>
        <w:jc w:val="both"/>
        <w:rPr/>
      </w:pPr>
      <w:r>
        <w:rPr>
          <w:rFonts w:ascii="Arial;sans-serif" w:hAnsi="Arial;sans-serif"/>
          <w:b w:val="false"/>
          <w:color w:val="000000"/>
          <w:sz w:val="10"/>
        </w:rPr>
        <w:t>(3)    </w:t>
      </w:r>
      <w:r>
        <w:rPr>
          <w:rFonts w:ascii="Arial;sans-serif" w:hAnsi="Arial;sans-serif"/>
          <w:b w:val="false"/>
          <w:color w:val="000000"/>
          <w:sz w:val="16"/>
        </w:rPr>
        <w:t>Includes severance and related expenses for the Company’s transition of executive officers and organizational redesign.</w:t>
      </w:r>
    </w:p>
    <w:p>
      <w:pPr>
        <w:pStyle w:val="TextBody"/>
        <w:bidi w:val="0"/>
        <w:spacing w:lineRule="auto" w:line="288" w:before="0" w:after="0"/>
        <w:ind w:left="0" w:right="0" w:hanging="360"/>
        <w:jc w:val="both"/>
        <w:rPr/>
      </w:pPr>
      <w:r>
        <w:rPr>
          <w:rFonts w:ascii="Arial;sans-serif" w:hAnsi="Arial;sans-serif"/>
          <w:b w:val="false"/>
          <w:color w:val="000000"/>
          <w:sz w:val="10"/>
        </w:rPr>
        <w:t>(4)</w:t>
      </w:r>
      <w:r>
        <w:rPr>
          <w:color w:val="000000"/>
        </w:rPr>
        <w:t>    </w:t>
      </w:r>
      <w:r>
        <w:rPr>
          <w:rFonts w:ascii="Arial;sans-serif" w:hAnsi="Arial;sans-serif"/>
          <w:b w:val="false"/>
          <w:color w:val="000000"/>
          <w:sz w:val="16"/>
          <w:shd w:fill="FFFFFF" w:val="clear"/>
        </w:rPr>
        <w:t>Represents the income tax impact of non-GAAP adjustments, calculated using a normalized annual effective tax rate of 24% applied to adjusted pre-tax earnings for the first quarters of 2026 and 2025, excluding permanent items.</w:t>
      </w:r>
    </w:p>
    <w:p>
      <w:pPr>
        <w:pStyle w:val="TextBody"/>
        <w:bidi w:val="0"/>
        <w:spacing w:lineRule="auto" w:line="288"/>
        <w:ind w:left="0" w:right="0" w:hanging="360"/>
        <w:jc w:val="both"/>
        <w:rPr/>
      </w:pPr>
      <w:r>
        <w:rPr>
          <w:rFonts w:ascii="Arial;sans-serif" w:hAnsi="Arial;sans-serif"/>
          <w:b w:val="false"/>
          <w:color w:val="000000"/>
          <w:sz w:val="10"/>
        </w:rPr>
        <w:t>(5)</w:t>
      </w:r>
      <w:r>
        <w:rPr>
          <w:color w:val="000000"/>
        </w:rPr>
        <w:t>    </w:t>
      </w:r>
      <w:r>
        <w:rPr>
          <w:rFonts w:ascii="Arial;sans-serif" w:hAnsi="Arial;sans-serif"/>
          <w:b w:val="false"/>
          <w:color w:val="000000"/>
          <w:sz w:val="16"/>
        </w:rPr>
        <w:t>EPS difference and diluted non-GAAP earnings per share are calculated by dividing our non-GAAP net income attributable to HF Foods by our non-GAAP diluted weighted average number of shares.</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3524</Words>
  <Characters>20007</Characters>
  <CharactersWithSpaces>23162</CharactersWithSpaces>
  <Paragraphs>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