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0150.xml.htm"/>
      <w:bookmarkStart w:id="1" w:name="kswkform4_17805201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Administrative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81,130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331,966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81,130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118,630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in one-third increments annually, beginning April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("PSU") represents a contingent right to receive 1 to 2.25x shares of the Issuer's Class A Common Stock upon satisfaction of applicable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PSUs are scheduled to vest on April 15, 2029, if for at least a period of thirty trading days commencing on January 1, 2026, and ending on December 31, 2028, the closing market capitalization of the Issuer averages $200 million to $400 million over such thirty-day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874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3640</Characters>
  <CharactersWithSpaces>4244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