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13D</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 (Amendment No. 2)</w:t>
      </w:r>
    </w:p>
    <w:p>
      <w:pPr>
        <w:spacing w:after="0" w:line="291" w:lineRule="exact"/>
        <w:rPr>
          <w:sz w:val="24"/>
          <w:szCs w:val="24"/>
          <w:color w:val="auto"/>
        </w:rPr>
      </w:pPr>
    </w:p>
    <w:p>
      <w:pPr>
        <w:jc w:val="center"/>
        <w:ind w:right="220"/>
        <w:spacing w:after="0"/>
        <w:rPr>
          <w:sz w:val="20"/>
          <w:szCs w:val="20"/>
          <w:color w:val="auto"/>
        </w:rPr>
      </w:pPr>
      <w:r>
        <w:rPr>
          <w:rFonts w:ascii="Arial" w:cs="Arial" w:eastAsia="Arial" w:hAnsi="Arial"/>
          <w:sz w:val="20"/>
          <w:szCs w:val="20"/>
          <w:b w:val="1"/>
          <w:bCs w:val="1"/>
          <w:color w:val="auto"/>
        </w:rPr>
        <w:t>HF Foods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60"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(Name of Issuer)</w:t>
      </w:r>
    </w:p>
    <w:p>
      <w:pPr>
        <w:spacing w:after="0" w:line="200" w:lineRule="exact"/>
        <w:rPr>
          <w:sz w:val="24"/>
          <w:szCs w:val="24"/>
          <w:color w:val="auto"/>
        </w:rPr>
      </w:pPr>
    </w:p>
    <w:p>
      <w:pPr>
        <w:spacing w:after="0" w:line="238" w:lineRule="exact"/>
        <w:rPr>
          <w:sz w:val="24"/>
          <w:szCs w:val="24"/>
          <w:color w:val="auto"/>
        </w:rPr>
      </w:pPr>
    </w:p>
    <w:p>
      <w:pPr>
        <w:jc w:val="center"/>
        <w:ind w:right="220"/>
        <w:spacing w:after="0"/>
        <w:rPr>
          <w:sz w:val="20"/>
          <w:szCs w:val="20"/>
          <w:color w:val="auto"/>
        </w:rPr>
      </w:pPr>
      <w:r>
        <w:rPr>
          <w:rFonts w:ascii="Arial" w:cs="Arial" w:eastAsia="Arial" w:hAnsi="Arial"/>
          <w:sz w:val="20"/>
          <w:szCs w:val="20"/>
          <w:b w:val="1"/>
          <w:bCs w:val="1"/>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60"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220"/>
        <w:spacing w:after="0"/>
        <w:rPr>
          <w:sz w:val="20"/>
          <w:szCs w:val="20"/>
          <w:color w:val="auto"/>
        </w:rPr>
      </w:pPr>
      <w:r>
        <w:rPr>
          <w:rFonts w:ascii="Arial" w:cs="Arial" w:eastAsia="Arial" w:hAnsi="Arial"/>
          <w:sz w:val="22"/>
          <w:szCs w:val="22"/>
          <w:b w:val="1"/>
          <w:bCs w:val="1"/>
          <w:color w:val="auto"/>
        </w:rPr>
        <w:t>40417F109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8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55"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(CUSIP Number)</w:t>
      </w:r>
    </w:p>
    <w:p>
      <w:pPr>
        <w:spacing w:after="0" w:line="200" w:lineRule="exact"/>
        <w:rPr>
          <w:sz w:val="24"/>
          <w:szCs w:val="24"/>
          <w:color w:val="auto"/>
        </w:rPr>
      </w:pPr>
    </w:p>
    <w:p>
      <w:pPr>
        <w:spacing w:after="0" w:line="238" w:lineRule="exact"/>
        <w:rPr>
          <w:sz w:val="24"/>
          <w:szCs w:val="24"/>
          <w:color w:val="auto"/>
        </w:rPr>
      </w:pPr>
    </w:p>
    <w:p>
      <w:pPr>
        <w:jc w:val="center"/>
        <w:ind w:right="220"/>
        <w:spacing w:after="0"/>
        <w:rPr>
          <w:sz w:val="20"/>
          <w:szCs w:val="20"/>
          <w:color w:val="auto"/>
        </w:rPr>
      </w:pPr>
      <w:r>
        <w:rPr>
          <w:rFonts w:ascii="Arial" w:cs="Arial" w:eastAsia="Arial" w:hAnsi="Arial"/>
          <w:sz w:val="20"/>
          <w:szCs w:val="20"/>
          <w:b w:val="1"/>
          <w:bCs w:val="1"/>
          <w:color w:val="auto"/>
        </w:rPr>
        <w:t>David B. Puryear, Jr.</w:t>
      </w:r>
    </w:p>
    <w:p>
      <w:pPr>
        <w:spacing w:after="0" w:line="22" w:lineRule="exact"/>
        <w:rPr>
          <w:sz w:val="24"/>
          <w:szCs w:val="24"/>
          <w:color w:val="auto"/>
        </w:rPr>
      </w:pPr>
    </w:p>
    <w:p>
      <w:pPr>
        <w:jc w:val="center"/>
        <w:ind w:right="220"/>
        <w:spacing w:after="0"/>
        <w:rPr>
          <w:sz w:val="20"/>
          <w:szCs w:val="20"/>
          <w:color w:val="auto"/>
        </w:rPr>
      </w:pPr>
      <w:r>
        <w:rPr>
          <w:rFonts w:ascii="Arial" w:cs="Arial" w:eastAsia="Arial" w:hAnsi="Arial"/>
          <w:sz w:val="20"/>
          <w:szCs w:val="20"/>
          <w:b w:val="1"/>
          <w:bCs w:val="1"/>
          <w:color w:val="auto"/>
        </w:rPr>
        <w:t>Puryear and Lingle, P.L.L.C.</w:t>
      </w: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20"/>
          <w:szCs w:val="20"/>
          <w:b w:val="1"/>
          <w:bCs w:val="1"/>
          <w:color w:val="auto"/>
        </w:rPr>
        <w:t>5501-E Adams Farm Lane</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20"/>
          <w:szCs w:val="20"/>
          <w:b w:val="1"/>
          <w:bCs w:val="1"/>
          <w:color w:val="auto"/>
        </w:rPr>
        <w:t>Greensboro, NC 27407</w:t>
      </w:r>
    </w:p>
    <w:p>
      <w:pPr>
        <w:jc w:val="center"/>
        <w:ind w:right="220"/>
        <w:spacing w:after="0"/>
        <w:rPr>
          <w:sz w:val="20"/>
          <w:szCs w:val="20"/>
          <w:color w:val="auto"/>
        </w:rPr>
      </w:pPr>
      <w:r>
        <w:rPr>
          <w:rFonts w:ascii="Arial" w:cs="Arial" w:eastAsia="Arial" w:hAnsi="Arial"/>
          <w:sz w:val="20"/>
          <w:szCs w:val="20"/>
          <w:b w:val="1"/>
          <w:bCs w:val="1"/>
          <w:color w:val="auto"/>
        </w:rPr>
        <w:t>(336) 218-0227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8"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(Name, Address and Telephone Number of Person Authorized to Receive Notices and Communications)</w:t>
      </w:r>
    </w:p>
    <w:p>
      <w:pPr>
        <w:spacing w:after="0" w:line="60" w:lineRule="exact"/>
        <w:rPr>
          <w:sz w:val="24"/>
          <w:szCs w:val="24"/>
          <w:color w:val="auto"/>
        </w:rPr>
      </w:pPr>
    </w:p>
    <w:p>
      <w:pPr>
        <w:jc w:val="center"/>
        <w:ind w:right="220"/>
        <w:spacing w:after="0"/>
        <w:rPr>
          <w:sz w:val="20"/>
          <w:szCs w:val="20"/>
          <w:color w:val="auto"/>
        </w:rPr>
      </w:pPr>
      <w:r>
        <w:rPr>
          <w:rFonts w:ascii="Arial" w:cs="Arial" w:eastAsia="Arial" w:hAnsi="Arial"/>
          <w:sz w:val="20"/>
          <w:szCs w:val="20"/>
          <w:b w:val="1"/>
          <w:bCs w:val="1"/>
          <w:color w:val="auto"/>
        </w:rPr>
        <w:t>October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60"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(Date of Event which Requires Filing of this Statement)</w:t>
      </w:r>
    </w:p>
    <w:p>
      <w:pPr>
        <w:spacing w:after="0" w:line="255"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77"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240.13d-7(b) for other parties to whom copies are to be sent.</w:t>
      </w:r>
    </w:p>
    <w:p>
      <w:pPr>
        <w:spacing w:after="0" w:line="177" w:lineRule="exact"/>
        <w:rPr>
          <w:sz w:val="24"/>
          <w:szCs w:val="24"/>
          <w:color w:val="auto"/>
        </w:rPr>
      </w:pPr>
    </w:p>
    <w:p>
      <w:pPr>
        <w:jc w:val="both"/>
        <w:spacing w:after="0" w:line="287"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2"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25"/>
          <w:szCs w:val="25"/>
          <w:b w:val="1"/>
          <w:bCs w:val="1"/>
          <w:color w:val="auto"/>
        </w:rPr>
        <w:t>SCHEDULE 13D</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331"/>
        </w:trPr>
        <w:tc>
          <w:tcPr>
            <w:tcW w:w="13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23"/>
                <w:szCs w:val="23"/>
                <w:b w:val="1"/>
                <w:bCs w:val="1"/>
                <w:color w:val="auto"/>
              </w:rPr>
              <w:t>CUSIP No.</w:t>
            </w:r>
          </w:p>
        </w:tc>
        <w:tc>
          <w:tcPr>
            <w:tcW w:w="200" w:type="dxa"/>
            <w:vAlign w:val="bottom"/>
            <w:tcBorders>
              <w:top w:val="single" w:sz="8" w:color="auto"/>
              <w:bottom w:val="single" w:sz="8" w:color="auto"/>
            </w:tcBorders>
          </w:tcPr>
          <w:p>
            <w:pPr>
              <w:spacing w:after="0"/>
              <w:rPr>
                <w:sz w:val="24"/>
                <w:szCs w:val="24"/>
                <w:color w:val="auto"/>
              </w:rPr>
            </w:pPr>
          </w:p>
        </w:tc>
        <w:tc>
          <w:tcPr>
            <w:tcW w:w="3280" w:type="dxa"/>
            <w:vAlign w:val="bottom"/>
            <w:tcBorders>
              <w:top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22"/>
                <w:szCs w:val="22"/>
                <w:b w:val="1"/>
                <w:bCs w:val="1"/>
                <w:color w:val="auto"/>
              </w:rPr>
              <w:t>40417F109</w:t>
            </w:r>
          </w:p>
        </w:tc>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380" w:type="dxa"/>
            <w:vAlign w:val="bottom"/>
            <w:tcBorders>
              <w:right w:val="single" w:sz="8" w:color="auto"/>
            </w:tcBorders>
          </w:tcPr>
          <w:p>
            <w:pPr>
              <w:spacing w:after="0"/>
              <w:rPr>
                <w:sz w:val="12"/>
                <w:szCs w:val="12"/>
                <w:color w:val="auto"/>
              </w:rPr>
            </w:pPr>
          </w:p>
        </w:tc>
        <w:tc>
          <w:tcPr>
            <w:tcW w:w="10380" w:type="dxa"/>
            <w:vAlign w:val="bottom"/>
            <w:tcBorders>
              <w:right w:val="single" w:sz="8" w:color="auto"/>
            </w:tcBorders>
            <w:gridSpan w:val="6"/>
          </w:tcPr>
          <w:p>
            <w:pPr>
              <w:ind w:left="20"/>
              <w:spacing w:after="0" w:line="141" w:lineRule="exact"/>
              <w:rPr>
                <w:sz w:val="20"/>
                <w:szCs w:val="20"/>
                <w:color w:val="auto"/>
              </w:rPr>
            </w:pPr>
            <w:r>
              <w:rPr>
                <w:rFonts w:ascii="Arial" w:cs="Arial" w:eastAsia="Arial" w:hAnsi="Arial"/>
                <w:sz w:val="13"/>
                <w:szCs w:val="13"/>
                <w:color w:val="auto"/>
              </w:rPr>
              <w:t>NAMES OF REPORTING PERSONS</w:t>
            </w:r>
          </w:p>
        </w:tc>
        <w:tc>
          <w:tcPr>
            <w:tcW w:w="0" w:type="dxa"/>
            <w:vAlign w:val="bottom"/>
          </w:tcPr>
          <w:p>
            <w:pPr>
              <w:spacing w:after="0"/>
              <w:rPr>
                <w:sz w:val="1"/>
                <w:szCs w:val="1"/>
                <w:color w:val="auto"/>
              </w:rPr>
            </w:pPr>
          </w:p>
        </w:tc>
      </w:tr>
      <w:tr>
        <w:trPr>
          <w:trHeight w:val="182"/>
        </w:trPr>
        <w:tc>
          <w:tcPr>
            <w:tcW w:w="30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0380" w:type="dxa"/>
            <w:vAlign w:val="bottom"/>
            <w:tcBorders>
              <w:right w:val="single" w:sz="8" w:color="auto"/>
            </w:tcBorders>
            <w:gridSpan w:val="6"/>
          </w:tcPr>
          <w:p>
            <w:pPr>
              <w:ind w:left="20"/>
              <w:spacing w:after="0"/>
              <w:rPr>
                <w:sz w:val="20"/>
                <w:szCs w:val="20"/>
                <w:color w:val="auto"/>
              </w:rPr>
            </w:pPr>
            <w:r>
              <w:rPr>
                <w:rFonts w:ascii="Arial" w:cs="Arial" w:eastAsia="Arial" w:hAnsi="Arial"/>
                <w:sz w:val="13"/>
                <w:szCs w:val="13"/>
                <w:color w:val="auto"/>
              </w:rPr>
              <w:t>I.R.S. IDENTIFICATION NOS. OF ABOVE PERSONS (ENTITIES ONLY)</w:t>
            </w:r>
          </w:p>
        </w:tc>
        <w:tc>
          <w:tcPr>
            <w:tcW w:w="0" w:type="dxa"/>
            <w:vAlign w:val="bottom"/>
          </w:tcPr>
          <w:p>
            <w:pPr>
              <w:spacing w:after="0"/>
              <w:rPr>
                <w:sz w:val="1"/>
                <w:szCs w:val="1"/>
                <w:color w:val="auto"/>
              </w:rPr>
            </w:pPr>
          </w:p>
        </w:tc>
      </w:tr>
      <w:tr>
        <w:trPr>
          <w:trHeight w:val="285"/>
        </w:trPr>
        <w:tc>
          <w:tcPr>
            <w:tcW w:w="30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Zhou Min Ni</w:t>
            </w:r>
          </w:p>
        </w:tc>
        <w:tc>
          <w:tcPr>
            <w:tcW w:w="26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2</w:t>
            </w:r>
          </w:p>
        </w:tc>
        <w:tc>
          <w:tcPr>
            <w:tcW w:w="380" w:type="dxa"/>
            <w:vAlign w:val="bottom"/>
            <w:tcBorders>
              <w:right w:val="single" w:sz="8" w:color="auto"/>
            </w:tcBorders>
          </w:tcPr>
          <w:p>
            <w:pPr>
              <w:spacing w:after="0"/>
              <w:rPr>
                <w:sz w:val="15"/>
                <w:szCs w:val="15"/>
                <w:color w:val="auto"/>
              </w:rPr>
            </w:pPr>
          </w:p>
        </w:tc>
        <w:tc>
          <w:tcPr>
            <w:tcW w:w="10380" w:type="dxa"/>
            <w:vAlign w:val="bottom"/>
            <w:tcBorders>
              <w:right w:val="single" w:sz="8" w:color="auto"/>
            </w:tcBorders>
            <w:gridSpan w:val="6"/>
          </w:tcPr>
          <w:p>
            <w:pPr>
              <w:ind w:left="20"/>
              <w:spacing w:after="0"/>
              <w:rPr>
                <w:sz w:val="20"/>
                <w:szCs w:val="20"/>
                <w:color w:val="auto"/>
              </w:rPr>
            </w:pPr>
            <w:r>
              <w:rPr>
                <w:rFonts w:ascii="Arial" w:cs="Arial" w:eastAsia="Arial" w:hAnsi="Arial"/>
                <w:sz w:val="13"/>
                <w:szCs w:val="13"/>
                <w:color w:val="auto"/>
              </w:rPr>
              <w:t>CHECK THE APPROPRIATE BOX IF A MEMBER OF A GROUP*</w:t>
            </w:r>
          </w:p>
        </w:tc>
        <w:tc>
          <w:tcPr>
            <w:tcW w:w="0" w:type="dxa"/>
            <w:vAlign w:val="bottom"/>
          </w:tcPr>
          <w:p>
            <w:pPr>
              <w:spacing w:after="0"/>
              <w:rPr>
                <w:sz w:val="1"/>
                <w:szCs w:val="1"/>
                <w:color w:val="auto"/>
              </w:rPr>
            </w:pPr>
          </w:p>
        </w:tc>
      </w:tr>
      <w:tr>
        <w:trPr>
          <w:trHeight w:val="159"/>
        </w:trPr>
        <w:tc>
          <w:tcPr>
            <w:tcW w:w="30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40" w:type="dxa"/>
            <w:vAlign w:val="bottom"/>
            <w:vMerge w:val="restart"/>
          </w:tcPr>
          <w:p>
            <w:pPr>
              <w:ind w:left="340"/>
              <w:spacing w:after="0"/>
              <w:rPr>
                <w:sz w:val="20"/>
                <w:szCs w:val="20"/>
                <w:color w:val="auto"/>
              </w:rPr>
            </w:pPr>
            <w:r>
              <w:rPr>
                <w:rFonts w:ascii="Arial" w:cs="Arial" w:eastAsia="Arial" w:hAnsi="Arial"/>
                <w:sz w:val="22"/>
                <w:szCs w:val="22"/>
                <w:color w:val="auto"/>
              </w:rPr>
              <w:t>(a)</w:t>
            </w:r>
          </w:p>
        </w:tc>
        <w:tc>
          <w:tcPr>
            <w:tcW w:w="860" w:type="dxa"/>
            <w:vAlign w:val="bottom"/>
            <w:gridSpan w:val="2"/>
            <w:vMerge w:val="restart"/>
          </w:tcPr>
          <w:p>
            <w:pPr>
              <w:jc w:val="right"/>
              <w:ind w:right="508"/>
              <w:spacing w:after="0"/>
              <w:rPr>
                <w:sz w:val="20"/>
                <w:szCs w:val="20"/>
                <w:color w:val="auto"/>
              </w:rPr>
            </w:pPr>
            <w:r>
              <w:rPr>
                <w:rFonts w:ascii="Arial" w:cs="Arial" w:eastAsia="Arial" w:hAnsi="Arial"/>
                <w:sz w:val="22"/>
                <w:szCs w:val="22"/>
                <w:color w:val="auto"/>
              </w:rPr>
              <w:t>[ ]</w:t>
            </w:r>
          </w:p>
        </w:tc>
        <w:tc>
          <w:tcPr>
            <w:tcW w:w="26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64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6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30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(b)</w:t>
            </w:r>
          </w:p>
        </w:tc>
        <w:tc>
          <w:tcPr>
            <w:tcW w:w="86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22"/>
                <w:szCs w:val="22"/>
                <w:color w:val="auto"/>
              </w:rPr>
              <w:t>[ ]</w:t>
            </w:r>
          </w:p>
        </w:tc>
        <w:tc>
          <w:tcPr>
            <w:tcW w:w="26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380" w:type="dxa"/>
            <w:vAlign w:val="bottom"/>
            <w:tcBorders>
              <w:right w:val="single" w:sz="8" w:color="auto"/>
            </w:tcBorders>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3"/>
                <w:szCs w:val="13"/>
                <w:color w:val="auto"/>
              </w:rPr>
              <w:t>SEC USE ONLY</w:t>
            </w:r>
          </w:p>
        </w:tc>
        <w:tc>
          <w:tcPr>
            <w:tcW w:w="26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0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0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0380" w:type="dxa"/>
            <w:vAlign w:val="bottom"/>
            <w:tcBorders>
              <w:bottom w:val="single" w:sz="8" w:color="auto"/>
              <w:right w:val="single" w:sz="8" w:color="auto"/>
            </w:tcBorders>
            <w:gridSpan w:val="6"/>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380" w:type="dxa"/>
            <w:vAlign w:val="bottom"/>
            <w:tcBorders>
              <w:right w:val="single" w:sz="8" w:color="auto"/>
            </w:tcBorders>
          </w:tcPr>
          <w:p>
            <w:pPr>
              <w:spacing w:after="0"/>
              <w:rPr>
                <w:sz w:val="14"/>
                <w:szCs w:val="14"/>
                <w:color w:val="auto"/>
              </w:rPr>
            </w:pPr>
          </w:p>
        </w:tc>
        <w:tc>
          <w:tcPr>
            <w:tcW w:w="10380" w:type="dxa"/>
            <w:vAlign w:val="bottom"/>
            <w:tcBorders>
              <w:right w:val="single" w:sz="8" w:color="auto"/>
            </w:tcBorders>
            <w:gridSpan w:val="6"/>
          </w:tcPr>
          <w:p>
            <w:pPr>
              <w:ind w:left="20"/>
              <w:spacing w:after="0"/>
              <w:rPr>
                <w:sz w:val="20"/>
                <w:szCs w:val="20"/>
                <w:color w:val="auto"/>
              </w:rPr>
            </w:pPr>
            <w:r>
              <w:rPr>
                <w:rFonts w:ascii="Arial" w:cs="Arial" w:eastAsia="Arial" w:hAnsi="Arial"/>
                <w:sz w:val="13"/>
                <w:szCs w:val="13"/>
                <w:color w:val="auto"/>
              </w:rPr>
              <w:t>SOURCE OF FUNDS (See Instructions)</w:t>
            </w:r>
          </w:p>
        </w:tc>
        <w:tc>
          <w:tcPr>
            <w:tcW w:w="0" w:type="dxa"/>
            <w:vAlign w:val="bottom"/>
          </w:tcPr>
          <w:p>
            <w:pPr>
              <w:spacing w:after="0"/>
              <w:rPr>
                <w:sz w:val="1"/>
                <w:szCs w:val="1"/>
                <w:color w:val="auto"/>
              </w:rPr>
            </w:pPr>
          </w:p>
        </w:tc>
      </w:tr>
      <w:tr>
        <w:trPr>
          <w:trHeight w:val="159"/>
        </w:trPr>
        <w:tc>
          <w:tcPr>
            <w:tcW w:w="30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40" w:type="dxa"/>
            <w:vAlign w:val="bottom"/>
            <w:vMerge w:val="restart"/>
          </w:tcPr>
          <w:p>
            <w:pPr>
              <w:ind w:left="20"/>
              <w:spacing w:after="0"/>
              <w:rPr>
                <w:sz w:val="20"/>
                <w:szCs w:val="20"/>
                <w:color w:val="auto"/>
              </w:rPr>
            </w:pPr>
            <w:r>
              <w:rPr>
                <w:rFonts w:ascii="Arial" w:cs="Arial" w:eastAsia="Arial" w:hAnsi="Arial"/>
                <w:sz w:val="22"/>
                <w:szCs w:val="22"/>
                <w:color w:val="auto"/>
              </w:rPr>
              <w:t>OO</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61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380" w:type="dxa"/>
            <w:vAlign w:val="bottom"/>
            <w:tcBorders>
              <w:right w:val="single" w:sz="8" w:color="auto"/>
            </w:tcBorders>
          </w:tcPr>
          <w:p>
            <w:pPr>
              <w:spacing w:after="0"/>
              <w:rPr>
                <w:sz w:val="15"/>
                <w:szCs w:val="15"/>
                <w:color w:val="auto"/>
              </w:rPr>
            </w:pPr>
          </w:p>
        </w:tc>
        <w:tc>
          <w:tcPr>
            <w:tcW w:w="10380" w:type="dxa"/>
            <w:vAlign w:val="bottom"/>
            <w:tcBorders>
              <w:right w:val="single" w:sz="8" w:color="auto"/>
            </w:tcBorders>
            <w:gridSpan w:val="6"/>
          </w:tcPr>
          <w:p>
            <w:pPr>
              <w:ind w:left="20"/>
              <w:spacing w:after="0"/>
              <w:rPr>
                <w:sz w:val="20"/>
                <w:szCs w:val="20"/>
                <w:color w:val="auto"/>
              </w:rPr>
            </w:pPr>
            <w:r>
              <w:rPr>
                <w:rFonts w:ascii="Arial" w:cs="Arial" w:eastAsia="Arial" w:hAnsi="Arial"/>
                <w:sz w:val="13"/>
                <w:szCs w:val="13"/>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159"/>
        </w:trPr>
        <w:tc>
          <w:tcPr>
            <w:tcW w:w="30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20" w:type="dxa"/>
            <w:vAlign w:val="bottom"/>
            <w:vMerge w:val="restart"/>
          </w:tcPr>
          <w:p>
            <w:pPr>
              <w:ind w:left="2080"/>
              <w:spacing w:after="0"/>
              <w:rPr>
                <w:sz w:val="20"/>
                <w:szCs w:val="20"/>
                <w:color w:val="auto"/>
              </w:rPr>
            </w:pPr>
            <w:r>
              <w:rPr>
                <w:rFonts w:ascii="Arial" w:cs="Arial" w:eastAsia="Arial" w:hAnsi="Arial"/>
                <w:sz w:val="22"/>
                <w:szCs w:val="22"/>
                <w:color w:val="auto"/>
              </w:rPr>
              <w:t>[ ]</w:t>
            </w:r>
          </w:p>
        </w:tc>
        <w:tc>
          <w:tcPr>
            <w:tcW w:w="6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380" w:type="dxa"/>
            <w:vAlign w:val="bottom"/>
            <w:tcBorders>
              <w:right w:val="single" w:sz="8" w:color="auto"/>
            </w:tcBorders>
          </w:tcPr>
          <w:p>
            <w:pPr>
              <w:spacing w:after="0"/>
              <w:rPr>
                <w:sz w:val="15"/>
                <w:szCs w:val="15"/>
                <w:color w:val="auto"/>
              </w:rPr>
            </w:pPr>
          </w:p>
        </w:tc>
        <w:tc>
          <w:tcPr>
            <w:tcW w:w="10380" w:type="dxa"/>
            <w:vAlign w:val="bottom"/>
            <w:tcBorders>
              <w:right w:val="single" w:sz="8" w:color="auto"/>
            </w:tcBorders>
            <w:gridSpan w:val="6"/>
          </w:tcPr>
          <w:p>
            <w:pPr>
              <w:ind w:left="20"/>
              <w:spacing w:after="0"/>
              <w:rPr>
                <w:sz w:val="20"/>
                <w:szCs w:val="20"/>
                <w:color w:val="auto"/>
              </w:rPr>
            </w:pPr>
            <w:r>
              <w:rPr>
                <w:rFonts w:ascii="Arial" w:cs="Arial" w:eastAsia="Arial" w:hAnsi="Arial"/>
                <w:sz w:val="13"/>
                <w:szCs w:val="13"/>
                <w:color w:val="auto"/>
              </w:rPr>
              <w:t>CITIZENSHIP OR PLACE OF ORGANIZATION</w:t>
            </w:r>
          </w:p>
        </w:tc>
        <w:tc>
          <w:tcPr>
            <w:tcW w:w="0" w:type="dxa"/>
            <w:vAlign w:val="bottom"/>
          </w:tcPr>
          <w:p>
            <w:pPr>
              <w:spacing w:after="0"/>
              <w:rPr>
                <w:sz w:val="1"/>
                <w:szCs w:val="1"/>
                <w:color w:val="auto"/>
              </w:rPr>
            </w:pPr>
          </w:p>
        </w:tc>
      </w:tr>
      <w:tr>
        <w:trPr>
          <w:trHeight w:val="159"/>
        </w:trPr>
        <w:tc>
          <w:tcPr>
            <w:tcW w:w="30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40" w:type="dxa"/>
            <w:vAlign w:val="bottom"/>
            <w:vMerge w:val="restart"/>
          </w:tcPr>
          <w:p>
            <w:pPr>
              <w:ind w:left="20"/>
              <w:spacing w:after="0"/>
              <w:rPr>
                <w:sz w:val="20"/>
                <w:szCs w:val="20"/>
                <w:color w:val="auto"/>
              </w:rPr>
            </w:pPr>
            <w:r>
              <w:rPr>
                <w:rFonts w:ascii="Arial" w:cs="Arial" w:eastAsia="Arial" w:hAnsi="Arial"/>
                <w:sz w:val="22"/>
                <w:szCs w:val="22"/>
                <w:color w:val="auto"/>
              </w:rPr>
              <w:t>US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61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tcPr>
          <w:p>
            <w:pPr>
              <w:spacing w:after="0"/>
              <w:rPr>
                <w:sz w:val="15"/>
                <w:szCs w:val="15"/>
                <w:color w:val="auto"/>
              </w:rPr>
            </w:pPr>
          </w:p>
        </w:tc>
        <w:tc>
          <w:tcPr>
            <w:tcW w:w="1020" w:type="dxa"/>
            <w:vAlign w:val="bottom"/>
            <w:gridSpan w:val="2"/>
          </w:tcPr>
          <w:p>
            <w:pPr>
              <w:jc w:val="center"/>
              <w:ind w:right="17"/>
              <w:spacing w:after="0"/>
              <w:rPr>
                <w:sz w:val="20"/>
                <w:szCs w:val="20"/>
                <w:color w:val="auto"/>
              </w:rPr>
            </w:pPr>
            <w:r>
              <w:rPr>
                <w:rFonts w:ascii="Arial" w:cs="Arial" w:eastAsia="Arial" w:hAnsi="Arial"/>
                <w:sz w:val="13"/>
                <w:szCs w:val="13"/>
                <w:color w:val="auto"/>
                <w:w w:val="92"/>
              </w:rPr>
              <w:t>NUMBER OF</w:t>
            </w:r>
          </w:p>
        </w:tc>
        <w:tc>
          <w:tcPr>
            <w:tcW w:w="2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restart"/>
          </w:tcPr>
          <w:p>
            <w:pPr>
              <w:ind w:left="20"/>
              <w:spacing w:after="0"/>
              <w:rPr>
                <w:sz w:val="20"/>
                <w:szCs w:val="20"/>
                <w:color w:val="auto"/>
              </w:rPr>
            </w:pPr>
            <w:r>
              <w:rPr>
                <w:rFonts w:ascii="Arial" w:cs="Arial" w:eastAsia="Arial" w:hAnsi="Arial"/>
                <w:sz w:val="25"/>
                <w:szCs w:val="25"/>
                <w:b w:val="1"/>
                <w:bCs w:val="1"/>
                <w:color w:val="auto"/>
              </w:rPr>
              <w:t>7</w:t>
            </w:r>
          </w:p>
        </w:tc>
        <w:tc>
          <w:tcPr>
            <w:tcW w:w="87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SOLE VOTING POWER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00" w:type="dxa"/>
            <w:vAlign w:val="bottom"/>
            <w:tcBorders>
              <w:left w:val="single" w:sz="8" w:color="auto"/>
            </w:tcBorders>
          </w:tcPr>
          <w:p>
            <w:pPr>
              <w:spacing w:after="0"/>
              <w:rPr>
                <w:sz w:val="13"/>
                <w:szCs w:val="13"/>
                <w:color w:val="auto"/>
              </w:rPr>
            </w:pPr>
          </w:p>
        </w:tc>
        <w:tc>
          <w:tcPr>
            <w:tcW w:w="1020" w:type="dxa"/>
            <w:vAlign w:val="bottom"/>
            <w:gridSpan w:val="2"/>
            <w:vMerge w:val="restart"/>
          </w:tcPr>
          <w:p>
            <w:pPr>
              <w:jc w:val="center"/>
              <w:ind w:right="17"/>
              <w:spacing w:after="0"/>
              <w:rPr>
                <w:sz w:val="20"/>
                <w:szCs w:val="20"/>
                <w:color w:val="auto"/>
              </w:rPr>
            </w:pPr>
            <w:r>
              <w:rPr>
                <w:rFonts w:ascii="Arial" w:cs="Arial" w:eastAsia="Arial" w:hAnsi="Arial"/>
                <w:sz w:val="13"/>
                <w:szCs w:val="13"/>
                <w:color w:val="auto"/>
                <w:w w:val="89"/>
              </w:rPr>
              <w:t>SHARES</w:t>
            </w:r>
          </w:p>
        </w:tc>
        <w:tc>
          <w:tcPr>
            <w:tcW w:w="2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vMerge w:val="continue"/>
          </w:tcPr>
          <w:p>
            <w:pPr>
              <w:spacing w:after="0"/>
              <w:rPr>
                <w:sz w:val="13"/>
                <w:szCs w:val="13"/>
                <w:color w:val="auto"/>
              </w:rPr>
            </w:pPr>
          </w:p>
        </w:tc>
        <w:tc>
          <w:tcPr>
            <w:tcW w:w="2620" w:type="dxa"/>
            <w:vAlign w:val="bottom"/>
            <w:vMerge w:val="restart"/>
          </w:tcPr>
          <w:p>
            <w:pPr>
              <w:spacing w:after="0"/>
              <w:rPr>
                <w:sz w:val="20"/>
                <w:szCs w:val="20"/>
                <w:color w:val="auto"/>
              </w:rPr>
            </w:pPr>
            <w:r>
              <w:rPr>
                <w:rFonts w:ascii="Arial" w:cs="Arial" w:eastAsia="Arial" w:hAnsi="Arial"/>
                <w:sz w:val="22"/>
                <w:szCs w:val="22"/>
                <w:color w:val="auto"/>
              </w:rPr>
              <w:t>5,553,096</w:t>
            </w:r>
          </w:p>
        </w:tc>
        <w:tc>
          <w:tcPr>
            <w:tcW w:w="6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 w:type="dxa"/>
            <w:vAlign w:val="bottom"/>
            <w:tcBorders>
              <w:left w:val="single" w:sz="8" w:color="auto"/>
            </w:tcBorders>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620" w:type="dxa"/>
            <w:vAlign w:val="bottom"/>
            <w:vMerge w:val="continue"/>
          </w:tcPr>
          <w:p>
            <w:pPr>
              <w:spacing w:after="0"/>
              <w:rPr>
                <w:sz w:val="11"/>
                <w:szCs w:val="11"/>
                <w:color w:val="auto"/>
              </w:rPr>
            </w:pPr>
          </w:p>
        </w:tc>
        <w:tc>
          <w:tcPr>
            <w:tcW w:w="6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300" w:type="dxa"/>
            <w:vAlign w:val="bottom"/>
            <w:tcBorders>
              <w:left w:val="single" w:sz="8" w:color="auto"/>
            </w:tcBorders>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00" w:type="dxa"/>
            <w:vAlign w:val="bottom"/>
            <w:tcBorders>
              <w:left w:val="single" w:sz="8" w:color="auto"/>
            </w:tcBorders>
          </w:tcPr>
          <w:p>
            <w:pPr>
              <w:spacing w:after="0"/>
              <w:rPr>
                <w:sz w:val="16"/>
                <w:szCs w:val="16"/>
                <w:color w:val="auto"/>
              </w:rPr>
            </w:pPr>
          </w:p>
        </w:tc>
        <w:tc>
          <w:tcPr>
            <w:tcW w:w="1020" w:type="dxa"/>
            <w:vAlign w:val="bottom"/>
            <w:gridSpan w:val="2"/>
          </w:tcPr>
          <w:p>
            <w:pPr>
              <w:jc w:val="center"/>
              <w:ind w:right="17"/>
              <w:spacing w:after="0"/>
              <w:rPr>
                <w:sz w:val="20"/>
                <w:szCs w:val="20"/>
                <w:color w:val="auto"/>
              </w:rPr>
            </w:pPr>
            <w:r>
              <w:rPr>
                <w:rFonts w:ascii="Arial" w:cs="Arial" w:eastAsia="Arial" w:hAnsi="Arial"/>
                <w:sz w:val="13"/>
                <w:szCs w:val="13"/>
                <w:color w:val="auto"/>
                <w:w w:val="95"/>
              </w:rPr>
              <w:t>BENEFICIALLY</w:t>
            </w:r>
          </w:p>
        </w:tc>
        <w:tc>
          <w:tcPr>
            <w:tcW w:w="2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restart"/>
          </w:tcPr>
          <w:p>
            <w:pPr>
              <w:ind w:left="20"/>
              <w:spacing w:after="0"/>
              <w:rPr>
                <w:sz w:val="20"/>
                <w:szCs w:val="20"/>
                <w:color w:val="auto"/>
              </w:rPr>
            </w:pPr>
            <w:r>
              <w:rPr>
                <w:rFonts w:ascii="Arial" w:cs="Arial" w:eastAsia="Arial" w:hAnsi="Arial"/>
                <w:sz w:val="25"/>
                <w:szCs w:val="25"/>
                <w:b w:val="1"/>
                <w:bCs w:val="1"/>
                <w:color w:val="auto"/>
              </w:rPr>
              <w:t>8</w:t>
            </w:r>
          </w:p>
        </w:tc>
        <w:tc>
          <w:tcPr>
            <w:tcW w:w="87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SHARED VOTING POWER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0" w:type="dxa"/>
            <w:vAlign w:val="bottom"/>
            <w:tcBorders>
              <w:left w:val="single" w:sz="8" w:color="auto"/>
            </w:tcBorders>
          </w:tcPr>
          <w:p>
            <w:pPr>
              <w:spacing w:after="0"/>
              <w:rPr>
                <w:sz w:val="11"/>
                <w:szCs w:val="11"/>
                <w:color w:val="auto"/>
              </w:rPr>
            </w:pPr>
          </w:p>
        </w:tc>
        <w:tc>
          <w:tcPr>
            <w:tcW w:w="1020" w:type="dxa"/>
            <w:vAlign w:val="bottom"/>
            <w:gridSpan w:val="2"/>
            <w:vMerge w:val="restart"/>
          </w:tcPr>
          <w:p>
            <w:pPr>
              <w:jc w:val="center"/>
              <w:ind w:right="17"/>
              <w:spacing w:after="0"/>
              <w:rPr>
                <w:sz w:val="20"/>
                <w:szCs w:val="20"/>
                <w:color w:val="auto"/>
              </w:rPr>
            </w:pPr>
            <w:r>
              <w:rPr>
                <w:rFonts w:ascii="Arial" w:cs="Arial" w:eastAsia="Arial" w:hAnsi="Arial"/>
                <w:sz w:val="13"/>
                <w:szCs w:val="13"/>
                <w:color w:val="auto"/>
                <w:w w:val="95"/>
              </w:rPr>
              <w:t>OWNED BY</w:t>
            </w:r>
          </w:p>
        </w:tc>
        <w:tc>
          <w:tcPr>
            <w:tcW w:w="2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2620" w:type="dxa"/>
            <w:vAlign w:val="bottom"/>
            <w:vMerge w:val="restart"/>
          </w:tcPr>
          <w:p>
            <w:pPr>
              <w:spacing w:after="0"/>
              <w:rPr>
                <w:sz w:val="20"/>
                <w:szCs w:val="20"/>
                <w:color w:val="auto"/>
              </w:rPr>
            </w:pPr>
            <w:r>
              <w:rPr>
                <w:rFonts w:ascii="Arial" w:cs="Arial" w:eastAsia="Arial" w:hAnsi="Arial"/>
                <w:sz w:val="22"/>
                <w:szCs w:val="22"/>
                <w:color w:val="auto"/>
              </w:rPr>
              <w:t>0</w:t>
            </w:r>
          </w:p>
        </w:tc>
        <w:tc>
          <w:tcPr>
            <w:tcW w:w="6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00" w:type="dxa"/>
            <w:vAlign w:val="bottom"/>
            <w:tcBorders>
              <w:left w:val="single" w:sz="8" w:color="auto"/>
            </w:tcBorders>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620" w:type="dxa"/>
            <w:vAlign w:val="bottom"/>
            <w:vMerge w:val="continue"/>
          </w:tcPr>
          <w:p>
            <w:pPr>
              <w:spacing w:after="0"/>
              <w:rPr>
                <w:sz w:val="13"/>
                <w:szCs w:val="13"/>
                <w:color w:val="auto"/>
              </w:rPr>
            </w:pPr>
          </w:p>
        </w:tc>
        <w:tc>
          <w:tcPr>
            <w:tcW w:w="6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0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color w:val="auto"/>
                <w:w w:val="94"/>
              </w:rPr>
              <w:t>EACH</w:t>
            </w:r>
          </w:p>
        </w:tc>
        <w:tc>
          <w:tcPr>
            <w:tcW w:w="2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restart"/>
          </w:tcPr>
          <w:p>
            <w:pPr>
              <w:ind w:left="20"/>
              <w:spacing w:after="0" w:line="169" w:lineRule="exact"/>
              <w:rPr>
                <w:sz w:val="20"/>
                <w:szCs w:val="20"/>
                <w:color w:val="auto"/>
              </w:rPr>
            </w:pPr>
            <w:r>
              <w:rPr>
                <w:rFonts w:ascii="Arial" w:cs="Arial" w:eastAsia="Arial" w:hAnsi="Arial"/>
                <w:sz w:val="19"/>
                <w:szCs w:val="19"/>
                <w:b w:val="1"/>
                <w:bCs w:val="1"/>
                <w:color w:val="auto"/>
              </w:rPr>
              <w:t>9</w:t>
            </w:r>
          </w:p>
        </w:tc>
        <w:tc>
          <w:tcPr>
            <w:tcW w:w="87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SOLE DISPOSITIVE POWER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Borders>
              <w:left w:val="single" w:sz="8" w:color="auto"/>
            </w:tcBorders>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vMerge w:val="continue"/>
          </w:tcPr>
          <w:p>
            <w:pPr>
              <w:spacing w:after="0" w:line="20" w:lineRule="exact"/>
              <w:rPr>
                <w:sz w:val="1"/>
                <w:szCs w:val="1"/>
                <w:color w:val="auto"/>
              </w:rPr>
            </w:pPr>
          </w:p>
        </w:tc>
        <w:tc>
          <w:tcPr>
            <w:tcW w:w="2620" w:type="dxa"/>
            <w:vAlign w:val="bottom"/>
            <w:vMerge w:val="restart"/>
          </w:tcPr>
          <w:p>
            <w:pPr>
              <w:spacing w:after="0"/>
              <w:rPr>
                <w:sz w:val="20"/>
                <w:szCs w:val="20"/>
                <w:color w:val="auto"/>
              </w:rPr>
            </w:pPr>
            <w:r>
              <w:rPr>
                <w:rFonts w:ascii="Arial" w:cs="Arial" w:eastAsia="Arial" w:hAnsi="Arial"/>
                <w:sz w:val="22"/>
                <w:szCs w:val="22"/>
                <w:color w:val="auto"/>
              </w:rPr>
              <w:t>5,553,096</w:t>
            </w:r>
          </w:p>
        </w:tc>
        <w:tc>
          <w:tcPr>
            <w:tcW w:w="6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300" w:type="dxa"/>
            <w:vAlign w:val="bottom"/>
            <w:tcBorders>
              <w:left w:val="single" w:sz="8" w:color="auto"/>
            </w:tcBorders>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2620" w:type="dxa"/>
            <w:vAlign w:val="bottom"/>
            <w:vMerge w:val="continue"/>
          </w:tcPr>
          <w:p>
            <w:pPr>
              <w:spacing w:after="0"/>
              <w:rPr>
                <w:sz w:val="3"/>
                <w:szCs w:val="3"/>
                <w:color w:val="auto"/>
              </w:rPr>
            </w:pPr>
          </w:p>
        </w:tc>
        <w:tc>
          <w:tcPr>
            <w:tcW w:w="6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00" w:type="dxa"/>
            <w:vAlign w:val="bottom"/>
            <w:tcBorders>
              <w:left w:val="single" w:sz="8" w:color="auto"/>
            </w:tcBorders>
          </w:tcPr>
          <w:p>
            <w:pPr>
              <w:spacing w:after="0"/>
              <w:rPr>
                <w:sz w:val="23"/>
                <w:szCs w:val="23"/>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auto"/>
                <w:w w:val="90"/>
              </w:rPr>
              <w:t>REPORTING</w:t>
            </w:r>
          </w:p>
        </w:tc>
        <w:tc>
          <w:tcPr>
            <w:tcW w:w="20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2620" w:type="dxa"/>
            <w:vAlign w:val="bottom"/>
            <w:vMerge w:val="continue"/>
          </w:tcPr>
          <w:p>
            <w:pPr>
              <w:spacing w:after="0"/>
              <w:rPr>
                <w:sz w:val="23"/>
                <w:szCs w:val="23"/>
                <w:color w:val="auto"/>
              </w:rPr>
            </w:pPr>
          </w:p>
        </w:tc>
        <w:tc>
          <w:tcPr>
            <w:tcW w:w="6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30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00" w:type="dxa"/>
            <w:vAlign w:val="bottom"/>
            <w:tcBorders>
              <w:left w:val="single" w:sz="8" w:color="auto"/>
            </w:tcBorders>
          </w:tcPr>
          <w:p>
            <w:pPr>
              <w:spacing w:after="0"/>
              <w:rPr>
                <w:sz w:val="13"/>
                <w:szCs w:val="13"/>
                <w:color w:val="auto"/>
              </w:rPr>
            </w:pPr>
          </w:p>
        </w:tc>
        <w:tc>
          <w:tcPr>
            <w:tcW w:w="1020" w:type="dxa"/>
            <w:vAlign w:val="bottom"/>
            <w:gridSpan w:val="2"/>
            <w:vMerge w:val="restart"/>
          </w:tcPr>
          <w:p>
            <w:pPr>
              <w:jc w:val="center"/>
              <w:ind w:right="17"/>
              <w:spacing w:after="0"/>
              <w:rPr>
                <w:sz w:val="20"/>
                <w:szCs w:val="20"/>
                <w:color w:val="auto"/>
              </w:rPr>
            </w:pPr>
            <w:r>
              <w:rPr>
                <w:rFonts w:ascii="Arial" w:cs="Arial" w:eastAsia="Arial" w:hAnsi="Arial"/>
                <w:sz w:val="13"/>
                <w:szCs w:val="13"/>
                <w:color w:val="auto"/>
                <w:w w:val="87"/>
              </w:rPr>
              <w:t>PERSON</w:t>
            </w:r>
          </w:p>
        </w:tc>
        <w:tc>
          <w:tcPr>
            <w:tcW w:w="2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vMerge w:val="restart"/>
          </w:tcPr>
          <w:p>
            <w:pPr>
              <w:ind w:left="20"/>
              <w:spacing w:after="0" w:line="183" w:lineRule="exact"/>
              <w:rPr>
                <w:sz w:val="20"/>
                <w:szCs w:val="20"/>
                <w:color w:val="auto"/>
              </w:rPr>
            </w:pPr>
            <w:r>
              <w:rPr>
                <w:rFonts w:ascii="Arial" w:cs="Arial" w:eastAsia="Arial" w:hAnsi="Arial"/>
                <w:sz w:val="21"/>
                <w:szCs w:val="21"/>
                <w:b w:val="1"/>
                <w:bCs w:val="1"/>
                <w:color w:val="auto"/>
              </w:rPr>
              <w:t>10</w:t>
            </w:r>
          </w:p>
        </w:tc>
        <w:tc>
          <w:tcPr>
            <w:tcW w:w="87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SHARED DISPOSITIVE POWER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tcBorders>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vMerge w:val="continue"/>
          </w:tcPr>
          <w:p>
            <w:pPr>
              <w:spacing w:after="0"/>
              <w:rPr>
                <w:sz w:val="2"/>
                <w:szCs w:val="2"/>
                <w:color w:val="auto"/>
              </w:rPr>
            </w:pPr>
          </w:p>
        </w:tc>
        <w:tc>
          <w:tcPr>
            <w:tcW w:w="2620" w:type="dxa"/>
            <w:vAlign w:val="bottom"/>
            <w:vMerge w:val="restart"/>
          </w:tcPr>
          <w:p>
            <w:pPr>
              <w:spacing w:after="0"/>
              <w:rPr>
                <w:sz w:val="20"/>
                <w:szCs w:val="20"/>
                <w:color w:val="auto"/>
              </w:rPr>
            </w:pPr>
            <w:r>
              <w:rPr>
                <w:rFonts w:ascii="Arial" w:cs="Arial" w:eastAsia="Arial" w:hAnsi="Arial"/>
                <w:sz w:val="22"/>
                <w:szCs w:val="22"/>
                <w:color w:val="auto"/>
              </w:rPr>
              <w:t>0</w:t>
            </w:r>
          </w:p>
        </w:tc>
        <w:tc>
          <w:tcPr>
            <w:tcW w:w="6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300" w:type="dxa"/>
            <w:vAlign w:val="bottom"/>
            <w:tcBorders>
              <w:left w:val="single" w:sz="8" w:color="auto"/>
            </w:tcBorders>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2620" w:type="dxa"/>
            <w:vAlign w:val="bottom"/>
            <w:vMerge w:val="continue"/>
          </w:tcPr>
          <w:p>
            <w:pPr>
              <w:spacing w:after="0"/>
              <w:rPr>
                <w:sz w:val="3"/>
                <w:szCs w:val="3"/>
                <w:color w:val="auto"/>
              </w:rPr>
            </w:pPr>
          </w:p>
        </w:tc>
        <w:tc>
          <w:tcPr>
            <w:tcW w:w="6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0"/>
        </w:trPr>
        <w:tc>
          <w:tcPr>
            <w:tcW w:w="30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13"/>
                <w:szCs w:val="13"/>
                <w:color w:val="auto"/>
                <w:w w:val="96"/>
              </w:rPr>
              <w:t>WITH</w:t>
            </w:r>
          </w:p>
        </w:tc>
        <w:tc>
          <w:tcPr>
            <w:tcW w:w="2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61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w w:val="86"/>
              </w:rPr>
              <w:t>11</w:t>
            </w:r>
          </w:p>
        </w:tc>
        <w:tc>
          <w:tcPr>
            <w:tcW w:w="380" w:type="dxa"/>
            <w:vAlign w:val="bottom"/>
            <w:tcBorders>
              <w:right w:val="single" w:sz="8" w:color="auto"/>
            </w:tcBorders>
          </w:tcPr>
          <w:p>
            <w:pPr>
              <w:spacing w:after="0"/>
              <w:rPr>
                <w:sz w:val="15"/>
                <w:szCs w:val="15"/>
                <w:color w:val="auto"/>
              </w:rPr>
            </w:pPr>
          </w:p>
        </w:tc>
        <w:tc>
          <w:tcPr>
            <w:tcW w:w="10380" w:type="dxa"/>
            <w:vAlign w:val="bottom"/>
            <w:tcBorders>
              <w:right w:val="single" w:sz="8" w:color="auto"/>
            </w:tcBorders>
            <w:gridSpan w:val="6"/>
          </w:tcPr>
          <w:p>
            <w:pPr>
              <w:ind w:left="20"/>
              <w:spacing w:after="0"/>
              <w:rPr>
                <w:sz w:val="20"/>
                <w:szCs w:val="20"/>
                <w:color w:val="auto"/>
              </w:rPr>
            </w:pPr>
            <w:r>
              <w:rPr>
                <w:rFonts w:ascii="Arial" w:cs="Arial" w:eastAsia="Arial" w:hAnsi="Arial"/>
                <w:sz w:val="13"/>
                <w:szCs w:val="13"/>
                <w:color w:val="auto"/>
              </w:rPr>
              <w:t>AGGREGATE AMOUNT BENEFICIALLY OWNED BY EACH REPORTING PERSON</w:t>
            </w:r>
          </w:p>
        </w:tc>
        <w:tc>
          <w:tcPr>
            <w:tcW w:w="0" w:type="dxa"/>
            <w:vAlign w:val="bottom"/>
          </w:tcPr>
          <w:p>
            <w:pPr>
              <w:spacing w:after="0"/>
              <w:rPr>
                <w:sz w:val="1"/>
                <w:szCs w:val="1"/>
                <w:color w:val="auto"/>
              </w:rPr>
            </w:pPr>
          </w:p>
        </w:tc>
      </w:tr>
      <w:tr>
        <w:trPr>
          <w:trHeight w:val="159"/>
        </w:trPr>
        <w:tc>
          <w:tcPr>
            <w:tcW w:w="30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22"/>
                <w:szCs w:val="22"/>
                <w:color w:val="auto"/>
              </w:rPr>
              <w:t>5,553,096</w:t>
            </w:r>
          </w:p>
        </w:tc>
        <w:tc>
          <w:tcPr>
            <w:tcW w:w="26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tcBorders>
            <w:gridSpan w:val="3"/>
            <w:vMerge w:val="continue"/>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61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w w:val="86"/>
              </w:rPr>
              <w:t>12</w:t>
            </w:r>
          </w:p>
        </w:tc>
        <w:tc>
          <w:tcPr>
            <w:tcW w:w="380" w:type="dxa"/>
            <w:vAlign w:val="bottom"/>
            <w:tcBorders>
              <w:right w:val="single" w:sz="8" w:color="auto"/>
            </w:tcBorders>
          </w:tcPr>
          <w:p>
            <w:pPr>
              <w:spacing w:after="0"/>
              <w:rPr>
                <w:sz w:val="15"/>
                <w:szCs w:val="15"/>
                <w:color w:val="auto"/>
              </w:rPr>
            </w:pPr>
          </w:p>
        </w:tc>
        <w:tc>
          <w:tcPr>
            <w:tcW w:w="10380" w:type="dxa"/>
            <w:vAlign w:val="bottom"/>
            <w:tcBorders>
              <w:right w:val="single" w:sz="8" w:color="auto"/>
            </w:tcBorders>
            <w:gridSpan w:val="6"/>
          </w:tcPr>
          <w:p>
            <w:pPr>
              <w:ind w:left="20"/>
              <w:spacing w:after="0"/>
              <w:rPr>
                <w:sz w:val="20"/>
                <w:szCs w:val="20"/>
                <w:color w:val="auto"/>
              </w:rPr>
            </w:pPr>
            <w:r>
              <w:rPr>
                <w:rFonts w:ascii="Arial" w:cs="Arial" w:eastAsia="Arial" w:hAnsi="Arial"/>
                <w:sz w:val="13"/>
                <w:szCs w:val="13"/>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160"/>
        </w:trPr>
        <w:tc>
          <w:tcPr>
            <w:tcW w:w="30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40" w:type="dxa"/>
            <w:vAlign w:val="bottom"/>
            <w:vMerge w:val="restart"/>
          </w:tcPr>
          <w:p>
            <w:pPr>
              <w:ind w:left="20"/>
              <w:spacing w:after="0"/>
              <w:rPr>
                <w:sz w:val="20"/>
                <w:szCs w:val="20"/>
                <w:color w:val="auto"/>
              </w:rPr>
            </w:pPr>
            <w:r>
              <w:rPr>
                <w:rFonts w:ascii="Arial" w:cs="Arial" w:eastAsia="Arial" w:hAnsi="Arial"/>
                <w:sz w:val="22"/>
                <w:szCs w:val="22"/>
                <w:color w:val="auto"/>
              </w:rPr>
              <w:t>[ ]</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61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w w:val="86"/>
              </w:rPr>
              <w:t>13</w:t>
            </w:r>
          </w:p>
        </w:tc>
        <w:tc>
          <w:tcPr>
            <w:tcW w:w="380" w:type="dxa"/>
            <w:vAlign w:val="bottom"/>
            <w:tcBorders>
              <w:right w:val="single" w:sz="8" w:color="auto"/>
            </w:tcBorders>
          </w:tcPr>
          <w:p>
            <w:pPr>
              <w:spacing w:after="0"/>
              <w:rPr>
                <w:sz w:val="15"/>
                <w:szCs w:val="15"/>
                <w:color w:val="auto"/>
              </w:rPr>
            </w:pPr>
          </w:p>
        </w:tc>
        <w:tc>
          <w:tcPr>
            <w:tcW w:w="10380" w:type="dxa"/>
            <w:vAlign w:val="bottom"/>
            <w:tcBorders>
              <w:right w:val="single" w:sz="8" w:color="auto"/>
            </w:tcBorders>
            <w:gridSpan w:val="6"/>
          </w:tcPr>
          <w:p>
            <w:pPr>
              <w:ind w:left="20"/>
              <w:spacing w:after="0"/>
              <w:rPr>
                <w:sz w:val="20"/>
                <w:szCs w:val="20"/>
                <w:color w:val="auto"/>
              </w:rPr>
            </w:pPr>
            <w:r>
              <w:rPr>
                <w:rFonts w:ascii="Arial" w:cs="Arial" w:eastAsia="Arial" w:hAnsi="Arial"/>
                <w:sz w:val="13"/>
                <w:szCs w:val="13"/>
                <w:color w:val="auto"/>
              </w:rPr>
              <w:t>PERCENT OF CLASS REPRESENTED BY AMOUNT IN ROW (11)</w:t>
            </w:r>
          </w:p>
        </w:tc>
        <w:tc>
          <w:tcPr>
            <w:tcW w:w="0" w:type="dxa"/>
            <w:vAlign w:val="bottom"/>
          </w:tcPr>
          <w:p>
            <w:pPr>
              <w:spacing w:after="0"/>
              <w:rPr>
                <w:sz w:val="1"/>
                <w:szCs w:val="1"/>
                <w:color w:val="auto"/>
              </w:rPr>
            </w:pPr>
          </w:p>
        </w:tc>
      </w:tr>
      <w:tr>
        <w:trPr>
          <w:trHeight w:val="160"/>
        </w:trPr>
        <w:tc>
          <w:tcPr>
            <w:tcW w:w="30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840" w:type="dxa"/>
            <w:vAlign w:val="bottom"/>
            <w:gridSpan w:val="2"/>
            <w:vMerge w:val="restart"/>
          </w:tcPr>
          <w:p>
            <w:pPr>
              <w:ind w:left="20"/>
              <w:spacing w:after="0" w:line="313" w:lineRule="exact"/>
              <w:rPr>
                <w:sz w:val="20"/>
                <w:szCs w:val="20"/>
                <w:color w:val="auto"/>
              </w:rPr>
            </w:pPr>
            <w:r>
              <w:rPr>
                <w:rFonts w:ascii="Arial" w:cs="Arial" w:eastAsia="Arial" w:hAnsi="Arial"/>
                <w:sz w:val="22"/>
                <w:szCs w:val="22"/>
                <w:color w:val="auto"/>
                <w:w w:val="91"/>
              </w:rPr>
              <w:t>10.70%</w:t>
            </w:r>
            <w:r>
              <w:rPr>
                <w:rFonts w:ascii="Arial" w:cs="Arial" w:eastAsia="Arial" w:hAnsi="Arial"/>
                <w:sz w:val="28"/>
                <w:szCs w:val="28"/>
                <w:color w:val="auto"/>
                <w:w w:val="91"/>
                <w:vertAlign w:val="superscript"/>
              </w:rPr>
              <w:t>1</w:t>
            </w:r>
          </w:p>
        </w:tc>
        <w:tc>
          <w:tcPr>
            <w:tcW w:w="6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Borders>
              <w:left w:val="single" w:sz="8" w:color="auto"/>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61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w w:val="86"/>
              </w:rPr>
              <w:t>14</w:t>
            </w:r>
          </w:p>
        </w:tc>
        <w:tc>
          <w:tcPr>
            <w:tcW w:w="380" w:type="dxa"/>
            <w:vAlign w:val="bottom"/>
            <w:tcBorders>
              <w:right w:val="single" w:sz="8" w:color="auto"/>
            </w:tcBorders>
          </w:tcPr>
          <w:p>
            <w:pPr>
              <w:spacing w:after="0"/>
              <w:rPr>
                <w:sz w:val="14"/>
                <w:szCs w:val="14"/>
                <w:color w:val="auto"/>
              </w:rPr>
            </w:pPr>
          </w:p>
        </w:tc>
        <w:tc>
          <w:tcPr>
            <w:tcW w:w="10380" w:type="dxa"/>
            <w:vAlign w:val="bottom"/>
            <w:tcBorders>
              <w:right w:val="single" w:sz="8" w:color="auto"/>
            </w:tcBorders>
            <w:gridSpan w:val="6"/>
          </w:tcPr>
          <w:p>
            <w:pPr>
              <w:ind w:left="20"/>
              <w:spacing w:after="0"/>
              <w:rPr>
                <w:sz w:val="20"/>
                <w:szCs w:val="20"/>
                <w:color w:val="auto"/>
              </w:rPr>
            </w:pPr>
            <w:r>
              <w:rPr>
                <w:rFonts w:ascii="Arial" w:cs="Arial" w:eastAsia="Arial" w:hAnsi="Arial"/>
                <w:sz w:val="13"/>
                <w:szCs w:val="13"/>
                <w:color w:val="auto"/>
              </w:rPr>
              <w:t>TYPE OF REPORTING PERSON (See Instructions)</w:t>
            </w:r>
          </w:p>
        </w:tc>
        <w:tc>
          <w:tcPr>
            <w:tcW w:w="0" w:type="dxa"/>
            <w:vAlign w:val="bottom"/>
          </w:tcPr>
          <w:p>
            <w:pPr>
              <w:spacing w:after="0"/>
              <w:rPr>
                <w:sz w:val="1"/>
                <w:szCs w:val="1"/>
                <w:color w:val="auto"/>
              </w:rPr>
            </w:pPr>
          </w:p>
        </w:tc>
      </w:tr>
      <w:tr>
        <w:trPr>
          <w:trHeight w:val="159"/>
        </w:trPr>
        <w:tc>
          <w:tcPr>
            <w:tcW w:w="30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40" w:type="dxa"/>
            <w:vAlign w:val="bottom"/>
            <w:vMerge w:val="restart"/>
          </w:tcPr>
          <w:p>
            <w:pPr>
              <w:ind w:left="20"/>
              <w:spacing w:after="0"/>
              <w:rPr>
                <w:sz w:val="20"/>
                <w:szCs w:val="20"/>
                <w:color w:val="auto"/>
              </w:rPr>
            </w:pPr>
            <w:r>
              <w:rPr>
                <w:rFonts w:ascii="Arial" w:cs="Arial" w:eastAsia="Arial" w:hAnsi="Arial"/>
                <w:sz w:val="22"/>
                <w:szCs w:val="22"/>
                <w:color w:val="auto"/>
              </w:rPr>
              <w:t>IN</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61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8"/>
        <w:spacing w:after="0" w:line="227" w:lineRule="auto"/>
        <w:tabs>
          <w:tab w:leader="none" w:pos="103"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Percentage ownership set forth above is based on 51,913,011 shares of Common Stock of HF Foods Group Inc. issued and outstanding as of October 14, 2020.</w:t>
      </w:r>
    </w:p>
    <w:p>
      <w:pPr>
        <w:sectPr>
          <w:pgSz w:w="11900" w:h="16838" w:orient="portrait"/>
          <w:cols w:equalWidth="0" w:num="1">
            <w:col w:w="11120"/>
          </w:cols>
          <w:pgMar w:left="320" w:top="1413"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Security and Issuer</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Statement relates to the Common Stock, par value $.0001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 of HF Foods Group Inc., a corporation organized and existing under the laws of the State of Delaware (the “</w:t>
      </w:r>
      <w:r>
        <w:rPr>
          <w:rFonts w:ascii="Arial" w:cs="Arial" w:eastAsia="Arial" w:hAnsi="Arial"/>
          <w:sz w:val="20"/>
          <w:szCs w:val="20"/>
          <w:u w:val="single" w:color="auto"/>
          <w:color w:val="auto"/>
        </w:rPr>
        <w:t>Issuer</w:t>
      </w:r>
      <w:r>
        <w:rPr>
          <w:rFonts w:ascii="Arial" w:cs="Arial" w:eastAsia="Arial" w:hAnsi="Arial"/>
          <w:sz w:val="20"/>
          <w:szCs w:val="20"/>
          <w:color w:val="auto"/>
        </w:rPr>
        <w:t>” or the “</w:t>
      </w:r>
      <w:r>
        <w:rPr>
          <w:rFonts w:ascii="Arial" w:cs="Arial" w:eastAsia="Arial" w:hAnsi="Arial"/>
          <w:sz w:val="20"/>
          <w:szCs w:val="20"/>
          <w:u w:val="single" w:color="auto"/>
          <w:color w:val="auto"/>
        </w:rPr>
        <w:t>Company</w:t>
      </w:r>
      <w:r>
        <w:rPr>
          <w:rFonts w:ascii="Arial" w:cs="Arial" w:eastAsia="Arial" w:hAnsi="Arial"/>
          <w:sz w:val="20"/>
          <w:szCs w:val="20"/>
          <w:color w:val="auto"/>
        </w:rPr>
        <w:t>”). The address of the principal executive office of the Company is 19319 Arenth Avenue, City of Industry, California 91748.</w:t>
      </w:r>
    </w:p>
    <w:p>
      <w:pPr>
        <w:spacing w:after="0" w:line="189"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Identity and Background</w:t>
      </w:r>
    </w:p>
    <w:p>
      <w:pPr>
        <w:spacing w:after="0" w:line="244" w:lineRule="exact"/>
        <w:rPr>
          <w:sz w:val="20"/>
          <w:szCs w:val="20"/>
          <w:color w:val="auto"/>
        </w:rPr>
      </w:pPr>
    </w:p>
    <w:p>
      <w:pPr>
        <w:ind w:right="600"/>
        <w:spacing w:after="0" w:line="250" w:lineRule="auto"/>
        <w:rPr>
          <w:sz w:val="20"/>
          <w:szCs w:val="20"/>
          <w:color w:val="auto"/>
        </w:rPr>
      </w:pPr>
      <w:r>
        <w:rPr>
          <w:rFonts w:ascii="Arial" w:cs="Arial" w:eastAsia="Arial" w:hAnsi="Arial"/>
          <w:sz w:val="20"/>
          <w:szCs w:val="20"/>
          <w:color w:val="auto"/>
        </w:rPr>
        <w:t>(a, b, c and f) This Statement is being filed by Zhou Min Ni (“</w:t>
      </w:r>
      <w:r>
        <w:rPr>
          <w:rFonts w:ascii="Arial" w:cs="Arial" w:eastAsia="Arial" w:hAnsi="Arial"/>
          <w:sz w:val="20"/>
          <w:szCs w:val="20"/>
          <w:u w:val="single" w:color="auto"/>
          <w:color w:val="auto"/>
        </w:rPr>
        <w:t>Ni</w:t>
      </w:r>
      <w:r>
        <w:rPr>
          <w:rFonts w:ascii="Arial" w:cs="Arial" w:eastAsia="Arial" w:hAnsi="Arial"/>
          <w:sz w:val="20"/>
          <w:szCs w:val="20"/>
          <w:color w:val="auto"/>
        </w:rPr>
        <w:t>” or the “</w:t>
      </w:r>
      <w:r>
        <w:rPr>
          <w:rFonts w:ascii="Arial" w:cs="Arial" w:eastAsia="Arial" w:hAnsi="Arial"/>
          <w:sz w:val="20"/>
          <w:szCs w:val="20"/>
          <w:u w:val="single" w:color="auto"/>
          <w:color w:val="auto"/>
        </w:rPr>
        <w:t>Reporting Person</w:t>
      </w:r>
      <w:r>
        <w:rPr>
          <w:rFonts w:ascii="Arial" w:cs="Arial" w:eastAsia="Arial" w:hAnsi="Arial"/>
          <w:sz w:val="20"/>
          <w:szCs w:val="20"/>
          <w:color w:val="auto"/>
        </w:rPr>
        <w:t>”), a U.S. citizen. Mr. Ni is presently the Chairman and Co-Chief Executive Officer of the Company. The business address of the Reporting Person is 6001 West Market Street, Greensboro, North Carolina 27409.</w:t>
      </w:r>
    </w:p>
    <w:p>
      <w:pPr>
        <w:spacing w:after="0" w:line="199"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(d and e) During the last five years, the Reporting Person has not been convicted in a criminal proceeding (excluding traffic violations or similar misdemeanors) and was not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 or finding any violation with respect to such laws.</w:t>
      </w:r>
    </w:p>
    <w:p>
      <w:pPr>
        <w:spacing w:after="0" w:line="179"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September 30, 2019, HF Group Holding Corp. and Han Feng, Inc. (the “</w:t>
      </w:r>
      <w:r>
        <w:rPr>
          <w:rFonts w:ascii="Arial" w:cs="Arial" w:eastAsia="Arial" w:hAnsi="Arial"/>
          <w:sz w:val="20"/>
          <w:szCs w:val="20"/>
          <w:u w:val="single" w:color="auto"/>
          <w:color w:val="auto"/>
        </w:rPr>
        <w:t>Sellers</w:t>
      </w:r>
      <w:r>
        <w:rPr>
          <w:rFonts w:ascii="Arial" w:cs="Arial" w:eastAsia="Arial" w:hAnsi="Arial"/>
          <w:sz w:val="20"/>
          <w:szCs w:val="20"/>
          <w:color w:val="auto"/>
        </w:rPr>
        <w:t>”), two wholly-owned subsidiaries of HF Foods 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entered into and closed a Loan Purchase and Sale Agreement (the “</w:t>
      </w:r>
      <w:r>
        <w:rPr>
          <w:rFonts w:ascii="Arial" w:cs="Arial" w:eastAsia="Arial" w:hAnsi="Arial"/>
          <w:sz w:val="20"/>
          <w:szCs w:val="20"/>
          <w:u w:val="single" w:color="auto"/>
          <w:color w:val="auto"/>
        </w:rPr>
        <w:t>Loan Sale Agreement</w:t>
      </w:r>
      <w:r>
        <w:rPr>
          <w:rFonts w:ascii="Arial" w:cs="Arial" w:eastAsia="Arial" w:hAnsi="Arial"/>
          <w:sz w:val="20"/>
          <w:szCs w:val="20"/>
          <w:color w:val="auto"/>
        </w:rPr>
        <w:t>”) with Zhou Min Ni, the Chairman, Chief Executive Officer, and a principal stockholder of the Company.</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Loan Sale Agreement provided for the nonrecourse transfer and assignment to Mr. Ni of all of the Sellers’ rights and interests, and assumption by Mr. Ni of all of the Sellers’ obligations, under four unsecured loans, with an aggregate balance of principal and accrued interest of $12,038,029.51, extended by the Sellers to companies in which Mr. Ni or his immediate family members had or have an ownership or other pecuniary interest (the “</w:t>
      </w:r>
      <w:r>
        <w:rPr>
          <w:rFonts w:ascii="Arial" w:cs="Arial" w:eastAsia="Arial" w:hAnsi="Arial"/>
          <w:sz w:val="20"/>
          <w:szCs w:val="20"/>
          <w:u w:val="single" w:color="auto"/>
          <w:color w:val="auto"/>
        </w:rPr>
        <w:t>Related Party Loans</w:t>
      </w:r>
      <w:r>
        <w:rPr>
          <w:rFonts w:ascii="Arial" w:cs="Arial" w:eastAsia="Arial" w:hAnsi="Arial"/>
          <w:sz w:val="20"/>
          <w:szCs w:val="20"/>
          <w:color w:val="auto"/>
        </w:rPr>
        <w:t>”), most of which were established while HF Group Holding Corp. was a privately-held business. Under the terms of the Loan Sale Agreement, Mr. Ni acquired the Related Party Loans without warranty or recourse and assumed all risks of non-collection.</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Related Party Loans were assigned to Mr. Ni in consideration of the transfer to HF Group Holding Corp. of up to 1,203,803 shares (the “</w:t>
      </w:r>
      <w:r>
        <w:rPr>
          <w:rFonts w:ascii="Arial" w:cs="Arial" w:eastAsia="Arial" w:hAnsi="Arial"/>
          <w:sz w:val="19"/>
          <w:szCs w:val="19"/>
          <w:u w:val="single" w:color="auto"/>
          <w:color w:val="auto"/>
        </w:rPr>
        <w:t>Shares</w:t>
      </w:r>
      <w:r>
        <w:rPr>
          <w:rFonts w:ascii="Arial" w:cs="Arial" w:eastAsia="Arial" w:hAnsi="Arial"/>
          <w:sz w:val="19"/>
          <w:szCs w:val="19"/>
          <w:color w:val="auto"/>
        </w:rPr>
        <w:t>”) of common stock of the Company owned by Mr. Ni. The amount of consideration was determined by valuing the Related Party Loans at their aggregate balance of principal and accrued interest, without discount for any issues of collectability, and by valuing the Shares within a range of per-share price approximating the typical market value of the Company’s common stock as reported on the Nasdaq Stock Market at two junctures in the Company’s history: (i) prior to the time of the Company’s agreement to enter into the merger with HF Group Holding Corp. in March 2018 (deemed for purposes of the Loan Sale Agreement to be $10.00 per share); and (ii) prior to the time of the announcement in June 2019 of the Company’s agreement to merge with B&amp;R Global Holdings, Inc.(deemed for purposes of the Loan Sale Agreement to be $13.30 per share). 298,688 of the Shares (the “</w:t>
      </w:r>
      <w:r>
        <w:rPr>
          <w:rFonts w:ascii="Arial" w:cs="Arial" w:eastAsia="Arial" w:hAnsi="Arial"/>
          <w:sz w:val="19"/>
          <w:szCs w:val="19"/>
          <w:u w:val="single" w:color="auto"/>
          <w:color w:val="auto"/>
        </w:rPr>
        <w:t>Escrow Shares</w:t>
      </w:r>
      <w:r>
        <w:rPr>
          <w:rFonts w:ascii="Arial" w:cs="Arial" w:eastAsia="Arial" w:hAnsi="Arial"/>
          <w:sz w:val="19"/>
          <w:szCs w:val="19"/>
          <w:color w:val="auto"/>
        </w:rPr>
        <w:t>”) were placed in an escrow account for a period of one year; the remaining 905,115 Shares were irrevocably transferred to the Company in payment of the minimum purchase price for the Related Party Loans. In the event that the volume weighted average closing price of the Company’s common stock for the 250-trading-day period immediately preceding the expiration of the escrow period (the “</w:t>
      </w:r>
      <w:r>
        <w:rPr>
          <w:rFonts w:ascii="Arial" w:cs="Arial" w:eastAsia="Arial" w:hAnsi="Arial"/>
          <w:sz w:val="19"/>
          <w:szCs w:val="19"/>
          <w:u w:val="single" w:color="auto"/>
          <w:color w:val="auto"/>
        </w:rPr>
        <w:t>250-day VWAP</w:t>
      </w:r>
      <w:r>
        <w:rPr>
          <w:rFonts w:ascii="Arial" w:cs="Arial" w:eastAsia="Arial" w:hAnsi="Arial"/>
          <w:sz w:val="19"/>
          <w:szCs w:val="19"/>
          <w:color w:val="auto"/>
        </w:rPr>
        <w:t>”) equaled or exceeded $13.30 per share, then all of the Escrow Shares were to be</w:t>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returned to Mr. Ni. In the event that the 250-day VWAP was equal to or less than 10.00 per share, then all of the Escrow Shares were to be transferred and released to the Company for cancellation. In the event that the 250-day VWAP was less than the $13.30 per share but greater than $10.00 per share, then a portion of the Escrow Shares, calculated on a sliding scale, were to be transferred and released to the Company for cancellation and the balance were to be returned to Mr. Ni.</w:t>
      </w:r>
    </w:p>
    <w:p>
      <w:pPr>
        <w:spacing w:after="0" w:line="218"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On October 9, 2020, in accordance with the terms of the Loan Sale Agreement and the ancillary Escrow Agreement, the Sellers and Mr. Ni agreed that the 250-day VWAP was $10.59, and that, therefore, 231,685 of the Escrow Shares would be transferred to HF Group Holding Corp. and that the remaining 67,003 Escrow Shares would be returned to Mr. Ni. Those distributions of Escrow Shares now have been completed.</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foregoing description of the Loan Sale Agreement is not complete and is qualified in its entirety by reference to the full text of the Loan Sale Agreement which is filed as Exhibit 10.1 to Issuer’s Current Report on Form 8-K, filed on the EDGAR system on October 4, 2019, which is incorporated herein by reference.</w:t>
      </w:r>
    </w:p>
    <w:p>
      <w:pPr>
        <w:spacing w:after="0" w:line="189"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44"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The transaction reported in this Schedule 13D was engaged in and concluded to enable the Issuer to divest itself of Related Party Loans in exchange for reacquisition of Issuer Common Stock, as described in Item 3. Mr. Ni may acquire or dispose of additional securities or sell securities of the Company from time to time in the market or in private transactions. Except for his activities as an Officer and Director of the Company, Mr. Ni does not have any current plans or proposals which relate to or would result in:</w:t>
      </w:r>
    </w:p>
    <w:p>
      <w:pPr>
        <w:spacing w:after="0" w:line="190" w:lineRule="exact"/>
        <w:rPr>
          <w:sz w:val="20"/>
          <w:szCs w:val="20"/>
          <w:color w:val="auto"/>
        </w:rPr>
      </w:pPr>
    </w:p>
    <w:p>
      <w:pPr>
        <w:ind w:left="420" w:hanging="412"/>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acquisition by any person of additional securities of the Company;</w:t>
      </w:r>
    </w:p>
    <w:p>
      <w:pPr>
        <w:spacing w:after="0" w:line="229" w:lineRule="exact"/>
        <w:rPr>
          <w:rFonts w:ascii="Arial" w:cs="Arial" w:eastAsia="Arial" w:hAnsi="Arial"/>
          <w:sz w:val="20"/>
          <w:szCs w:val="20"/>
          <w:color w:val="auto"/>
        </w:rPr>
      </w:pPr>
    </w:p>
    <w:p>
      <w:pPr>
        <w:ind w:right="1000" w:firstLine="8"/>
        <w:spacing w:after="0" w:line="260" w:lineRule="auto"/>
        <w:tabs>
          <w:tab w:leader="none" w:pos="418" w:val="left"/>
        </w:tabs>
        <w:numPr>
          <w:ilvl w:val="0"/>
          <w:numId w:val="2"/>
        </w:numPr>
        <w:rPr>
          <w:rFonts w:ascii="Arial" w:cs="Arial" w:eastAsia="Arial" w:hAnsi="Arial"/>
          <w:sz w:val="20"/>
          <w:szCs w:val="20"/>
          <w:color w:val="auto"/>
        </w:rPr>
      </w:pPr>
      <w:r>
        <w:rPr>
          <w:rFonts w:ascii="Arial" w:cs="Arial" w:eastAsia="Arial" w:hAnsi="Arial"/>
          <w:sz w:val="20"/>
          <w:szCs w:val="20"/>
          <w:color w:val="auto"/>
        </w:rPr>
        <w:t>An extraordinary corporate transaction, such as a merger, reorganization or liquidation, involving the Company or any of its subsidiaries;</w:t>
      </w:r>
    </w:p>
    <w:p>
      <w:pPr>
        <w:spacing w:after="0" w:line="190" w:lineRule="exact"/>
        <w:rPr>
          <w:rFonts w:ascii="Arial" w:cs="Arial" w:eastAsia="Arial" w:hAnsi="Arial"/>
          <w:sz w:val="20"/>
          <w:szCs w:val="20"/>
          <w:color w:val="auto"/>
        </w:rPr>
      </w:pPr>
    </w:p>
    <w:p>
      <w:pPr>
        <w:ind w:left="420" w:hanging="412"/>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 sale or transfer of a material amount of assets of the Company or of any of its subsidiaries;</w:t>
      </w:r>
    </w:p>
    <w:p>
      <w:pPr>
        <w:spacing w:after="0" w:line="229" w:lineRule="exact"/>
        <w:rPr>
          <w:rFonts w:ascii="Arial" w:cs="Arial" w:eastAsia="Arial" w:hAnsi="Arial"/>
          <w:sz w:val="20"/>
          <w:szCs w:val="20"/>
          <w:color w:val="auto"/>
        </w:rPr>
      </w:pPr>
    </w:p>
    <w:p>
      <w:pPr>
        <w:ind w:right="60" w:firstLine="8"/>
        <w:spacing w:after="0" w:line="260" w:lineRule="auto"/>
        <w:tabs>
          <w:tab w:leader="none" w:pos="418" w:val="left"/>
        </w:tabs>
        <w:numPr>
          <w:ilvl w:val="0"/>
          <w:numId w:val="2"/>
        </w:numPr>
        <w:rPr>
          <w:rFonts w:ascii="Arial" w:cs="Arial" w:eastAsia="Arial" w:hAnsi="Arial"/>
          <w:sz w:val="20"/>
          <w:szCs w:val="20"/>
          <w:color w:val="auto"/>
        </w:rPr>
      </w:pPr>
      <w:r>
        <w:rPr>
          <w:rFonts w:ascii="Arial" w:cs="Arial" w:eastAsia="Arial" w:hAnsi="Arial"/>
          <w:sz w:val="20"/>
          <w:szCs w:val="20"/>
          <w:color w:val="auto"/>
        </w:rPr>
        <w:t>Any change in the present board of directors or management of the Company, including any plans or proposals to change the number or term of directors or to fill any existing vacancies on the board;</w:t>
      </w:r>
    </w:p>
    <w:p>
      <w:pPr>
        <w:spacing w:after="0" w:line="190" w:lineRule="exact"/>
        <w:rPr>
          <w:rFonts w:ascii="Arial" w:cs="Arial" w:eastAsia="Arial" w:hAnsi="Arial"/>
          <w:sz w:val="20"/>
          <w:szCs w:val="20"/>
          <w:color w:val="auto"/>
        </w:rPr>
      </w:pPr>
    </w:p>
    <w:p>
      <w:pPr>
        <w:ind w:left="420" w:hanging="412"/>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Any material change in the present capitalization or dividend policy of the Company;</w:t>
      </w:r>
    </w:p>
    <w:p>
      <w:pPr>
        <w:spacing w:after="0" w:line="229"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Any other material change in the Company’s business or corporate structure;</w:t>
      </w:r>
    </w:p>
    <w:p>
      <w:pPr>
        <w:spacing w:after="0" w:line="229" w:lineRule="exact"/>
        <w:rPr>
          <w:rFonts w:ascii="Arial" w:cs="Arial" w:eastAsia="Arial" w:hAnsi="Arial"/>
          <w:sz w:val="20"/>
          <w:szCs w:val="20"/>
          <w:color w:val="auto"/>
        </w:rPr>
      </w:pPr>
    </w:p>
    <w:p>
      <w:pPr>
        <w:ind w:right="200" w:firstLine="8"/>
        <w:spacing w:after="0" w:line="260" w:lineRule="auto"/>
        <w:tabs>
          <w:tab w:leader="none" w:pos="429"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the Company’s charter, bylaws or instruments corresponding thereto or other actions which may impede the acquisition of control of the issuer by any other person;</w:t>
      </w:r>
    </w:p>
    <w:p>
      <w:pPr>
        <w:spacing w:after="0" w:line="190" w:lineRule="exact"/>
        <w:rPr>
          <w:rFonts w:ascii="Arial" w:cs="Arial" w:eastAsia="Arial" w:hAnsi="Arial"/>
          <w:sz w:val="20"/>
          <w:szCs w:val="20"/>
          <w:color w:val="auto"/>
        </w:rPr>
      </w:pPr>
    </w:p>
    <w:p>
      <w:pPr>
        <w:ind w:right="40" w:firstLine="8"/>
        <w:spacing w:after="0" w:line="260" w:lineRule="auto"/>
        <w:tabs>
          <w:tab w:leader="none" w:pos="429" w:val="left"/>
        </w:tabs>
        <w:numPr>
          <w:ilvl w:val="0"/>
          <w:numId w:val="2"/>
        </w:numPr>
        <w:rPr>
          <w:rFonts w:ascii="Arial" w:cs="Arial" w:eastAsia="Arial" w:hAnsi="Arial"/>
          <w:sz w:val="20"/>
          <w:szCs w:val="20"/>
          <w:color w:val="auto"/>
        </w:rPr>
      </w:pPr>
      <w:r>
        <w:rPr>
          <w:rFonts w:ascii="Arial" w:cs="Arial" w:eastAsia="Arial" w:hAnsi="Arial"/>
          <w:sz w:val="20"/>
          <w:szCs w:val="20"/>
          <w:color w:val="auto"/>
        </w:rPr>
        <w:t>Causing a class of securities of the Company to be delisted from a national securities exchange or to cease to be authorized to be quoted in an inter-dealer quotation system of a registered national securities association;</w:t>
      </w:r>
    </w:p>
    <w:p>
      <w:pPr>
        <w:spacing w:after="0" w:line="190" w:lineRule="exact"/>
        <w:rPr>
          <w:rFonts w:ascii="Arial" w:cs="Arial" w:eastAsia="Arial" w:hAnsi="Arial"/>
          <w:sz w:val="20"/>
          <w:szCs w:val="20"/>
          <w:color w:val="auto"/>
        </w:rPr>
      </w:pPr>
    </w:p>
    <w:p>
      <w:pPr>
        <w:ind w:right="740" w:firstLine="8"/>
        <w:spacing w:after="0" w:line="260" w:lineRule="auto"/>
        <w:tabs>
          <w:tab w:leader="none" w:pos="374" w:val="left"/>
        </w:tabs>
        <w:numPr>
          <w:ilvl w:val="0"/>
          <w:numId w:val="2"/>
        </w:numPr>
        <w:rPr>
          <w:rFonts w:ascii="Arial" w:cs="Arial" w:eastAsia="Arial" w:hAnsi="Arial"/>
          <w:sz w:val="20"/>
          <w:szCs w:val="20"/>
          <w:color w:val="auto"/>
        </w:rPr>
      </w:pPr>
      <w:r>
        <w:rPr>
          <w:rFonts w:ascii="Arial" w:cs="Arial" w:eastAsia="Arial" w:hAnsi="Arial"/>
          <w:sz w:val="20"/>
          <w:szCs w:val="20"/>
          <w:color w:val="auto"/>
        </w:rPr>
        <w:t>A class of equity securities of the Company becoming eligible for termination of registration pursuant to Section 12(g)(4) of the Securities Act; or</w:t>
      </w:r>
    </w:p>
    <w:p>
      <w:pPr>
        <w:sectPr>
          <w:pgSz w:w="11900" w:h="16838" w:orient="portrait"/>
          <w:cols w:equalWidth="0" w:num="1">
            <w:col w:w="11240"/>
          </w:cols>
          <w:pgMar w:left="320" w:top="12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16"/>
          <w:szCs w:val="16"/>
          <w:color w:val="auto"/>
        </w:rPr>
        <w:t>Any similar action to those enumerated above.</w:t>
      </w:r>
    </w:p>
    <w:p>
      <w:pPr>
        <w:spacing w:after="0" w:line="200" w:lineRule="exact"/>
        <w:rPr>
          <w:sz w:val="20"/>
          <w:szCs w:val="20"/>
          <w:color w:val="auto"/>
        </w:rPr>
      </w:pP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Interest in Securities of the Issuer</w:t>
      </w:r>
    </w:p>
    <w:p>
      <w:pPr>
        <w:spacing w:after="0" w:line="271" w:lineRule="exact"/>
        <w:rPr>
          <w:sz w:val="20"/>
          <w:szCs w:val="20"/>
          <w:color w:val="auto"/>
        </w:rPr>
      </w:pPr>
    </w:p>
    <w:p>
      <w:pPr>
        <w:ind w:right="20" w:firstLine="8"/>
        <w:spacing w:after="0" w:line="246" w:lineRule="auto"/>
        <w:tabs>
          <w:tab w:leader="none" w:pos="417" w:val="left"/>
        </w:tabs>
        <w:numPr>
          <w:ilvl w:val="0"/>
          <w:numId w:val="3"/>
        </w:numPr>
        <w:rPr>
          <w:rFonts w:ascii="Arial" w:cs="Arial" w:eastAsia="Arial" w:hAnsi="Arial"/>
          <w:sz w:val="20"/>
          <w:szCs w:val="20"/>
          <w:color w:val="auto"/>
        </w:rPr>
      </w:pPr>
      <w:r>
        <w:rPr>
          <w:rFonts w:ascii="Arial" w:cs="Arial" w:eastAsia="Arial" w:hAnsi="Arial"/>
          <w:sz w:val="20"/>
          <w:szCs w:val="20"/>
          <w:color w:val="auto"/>
        </w:rPr>
        <w:t>Mr. Ni is the beneficial owner, with sole dispositive and voting power, of 5,553,096 shares of Common Stock, or approximately 10.70% of the Company’s outstanding Common Stock. Chan Sin Wong, Mr. Ni’s spouse, is an officer of a subsidiary of HF Foods Group Inc. but owns no shares herself nor does she exercise voting power over Mr. Ni’s shares or any other securities of HF Foods Group Inc. (the “Company”).</w:t>
      </w:r>
    </w:p>
    <w:p>
      <w:pPr>
        <w:spacing w:after="0" w:line="204" w:lineRule="exact"/>
        <w:rPr>
          <w:rFonts w:ascii="Arial" w:cs="Arial" w:eastAsia="Arial" w:hAnsi="Arial"/>
          <w:sz w:val="20"/>
          <w:szCs w:val="20"/>
          <w:color w:val="auto"/>
        </w:rPr>
      </w:pPr>
    </w:p>
    <w:p>
      <w:pPr>
        <w:ind w:right="140" w:firstLine="8"/>
        <w:spacing w:after="0" w:line="260" w:lineRule="auto"/>
        <w:tabs>
          <w:tab w:leader="none" w:pos="425"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Reporting Person may be deemed to have sole voting and dispositive power over the shares of Common Stock beneficially owned by him, as described above.</w:t>
      </w:r>
    </w:p>
    <w:p>
      <w:pPr>
        <w:spacing w:after="0" w:line="190" w:lineRule="exact"/>
        <w:rPr>
          <w:rFonts w:ascii="Arial" w:cs="Arial" w:eastAsia="Arial" w:hAnsi="Arial"/>
          <w:sz w:val="20"/>
          <w:szCs w:val="20"/>
          <w:color w:val="auto"/>
        </w:rPr>
      </w:pPr>
    </w:p>
    <w:p>
      <w:pPr>
        <w:ind w:right="600" w:firstLine="8"/>
        <w:spacing w:after="0" w:line="260" w:lineRule="auto"/>
        <w:tabs>
          <w:tab w:leader="none" w:pos="417" w:val="left"/>
        </w:tabs>
        <w:numPr>
          <w:ilvl w:val="0"/>
          <w:numId w:val="3"/>
        </w:numPr>
        <w:rPr>
          <w:rFonts w:ascii="Arial" w:cs="Arial" w:eastAsia="Arial" w:hAnsi="Arial"/>
          <w:sz w:val="20"/>
          <w:szCs w:val="20"/>
          <w:color w:val="auto"/>
        </w:rPr>
      </w:pPr>
      <w:r>
        <w:rPr>
          <w:rFonts w:ascii="Arial" w:cs="Arial" w:eastAsia="Arial" w:hAnsi="Arial"/>
          <w:sz w:val="20"/>
          <w:szCs w:val="20"/>
          <w:color w:val="auto"/>
        </w:rPr>
        <w:t>Other than the transactions reported in Item 3 of this Schedule 13D, the Reporting Person has not effected any transactions in the Common Stock in the past 60 days.</w:t>
      </w:r>
    </w:p>
    <w:p>
      <w:pPr>
        <w:spacing w:after="0" w:line="190" w:lineRule="exact"/>
        <w:rPr>
          <w:rFonts w:ascii="Arial" w:cs="Arial" w:eastAsia="Arial" w:hAnsi="Arial"/>
          <w:sz w:val="20"/>
          <w:szCs w:val="20"/>
          <w:color w:val="auto"/>
        </w:rPr>
      </w:pPr>
    </w:p>
    <w:p>
      <w:pPr>
        <w:ind w:left="440" w:hanging="432"/>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229" w:lineRule="exact"/>
        <w:rPr>
          <w:rFonts w:ascii="Arial" w:cs="Arial" w:eastAsia="Arial" w:hAnsi="Arial"/>
          <w:sz w:val="20"/>
          <w:szCs w:val="20"/>
          <w:color w:val="auto"/>
        </w:rPr>
      </w:pPr>
    </w:p>
    <w:p>
      <w:pPr>
        <w:ind w:left="420" w:hanging="412"/>
        <w:spacing w:after="0"/>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232"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Contracts, Arrangements, Understandings or Relationships with Respect to Securities of the Issuer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The disclosure contained in Item 3 is incorporated into this item by reference.</w:t>
      </w: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Material to Be Filed as Exhibits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The Loan Sale Agreement described in Item 3 is available at:</w:t>
      </w:r>
    </w:p>
    <w:p>
      <w:pPr>
        <w:spacing w:after="0" w:line="216" w:lineRule="exact"/>
        <w:rPr>
          <w:sz w:val="20"/>
          <w:szCs w:val="20"/>
          <w:color w:val="auto"/>
        </w:rPr>
      </w:pPr>
    </w:p>
    <w:p>
      <w:pPr>
        <w:spacing w:after="0"/>
        <w:rPr>
          <w:rFonts w:ascii="Arial" w:cs="Arial" w:eastAsia="Arial" w:hAnsi="Arial"/>
          <w:sz w:val="20"/>
          <w:szCs w:val="20"/>
          <w:u w:val="single" w:color="auto"/>
          <w:color w:val="0000FF"/>
        </w:rPr>
      </w:pPr>
      <w:hyperlink r:id="rId14">
        <w:r>
          <w:rPr>
            <w:rFonts w:ascii="Arial" w:cs="Arial" w:eastAsia="Arial" w:hAnsi="Arial"/>
            <w:sz w:val="20"/>
            <w:szCs w:val="20"/>
            <w:u w:val="single" w:color="auto"/>
            <w:color w:val="0000FF"/>
          </w:rPr>
          <w:t>https://www.sec.gov/Archives/edgar/data/1680873/000143774919019696/ex_159598.htm</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October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291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Zhou Min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291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20"/>
          <w:szCs w:val="20"/>
          <w:color w:val="auto"/>
        </w:rPr>
        <w:t>Zhou Min Ni,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291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Name/Title</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w:t>
      </w:r>
    </w:p>
    <w:p>
      <w:pPr>
        <w:sectPr>
          <w:pgSz w:w="11900" w:h="16838" w:orient="portrait"/>
          <w:cols w:equalWidth="0" w:num="1">
            <w:col w:w="11240"/>
          </w:cols>
          <w:pgMar w:left="320" w:top="12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already on file with the Commission may be incorporated by reference. The name and any title of each person who signs the statement shall be typed or printed beneath his signature.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4" Type="http://schemas.openxmlformats.org/officeDocument/2006/relationships/hyperlink" Target="https://www.sec.gov/Archives/edgar/data/1680873/000143774919019696/ex_1595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2020-10-22T14:37:33Z</dcterms:created>
  <dcterms:modified xsi:type="dcterms:W3CDTF">2020-10-22T14:37:33Z</dcterms:modified>
</cp:coreProperties>
</file>