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jc w:val="center"/>
        <w:ind w:left="3820" w:right="940" w:hanging="2895"/>
        <w:spacing w:after="0" w:line="432" w:lineRule="auto"/>
        <w:tabs>
          <w:tab w:leader="none" w:pos="114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1" w:lineRule="exact"/>
        <w:rPr>
          <w:rFonts w:ascii="MS PGothic" w:cs="MS PGothic" w:eastAsia="MS PGothic" w:hAnsi="MS PGothic"/>
          <w:sz w:val="18"/>
          <w:szCs w:val="18"/>
          <w:color w:val="auto"/>
        </w:rPr>
      </w:pPr>
    </w:p>
    <w:p>
      <w:pPr>
        <w:ind w:left="3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p>
      <w:pPr>
        <w:spacing w:after="0" w:line="1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81-2717873</w:t>
            </w:r>
          </w:p>
        </w:tc>
      </w:tr>
      <w:tr>
        <w:trPr>
          <w:trHeight w:val="243"/>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905-0988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6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7, 2024, the registrant had 52,610,847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9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7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78"/>
              <w:spacing w:after="0"/>
              <w:rPr>
                <w:sz w:val="20"/>
                <w:szCs w:val="20"/>
                <w:color w:val="auto"/>
              </w:rPr>
            </w:pPr>
            <w:r>
              <w:rPr>
                <w:rFonts w:ascii="Times New Roman" w:cs="Times New Roman" w:eastAsia="Times New Roman" w:hAnsi="Times New Roman"/>
                <w:sz w:val="18"/>
                <w:szCs w:val="18"/>
                <w:b w:val="1"/>
                <w:bCs w:val="1"/>
                <w:color w:val="auto"/>
                <w:w w:val="99"/>
              </w:rPr>
              <w:t>HF Foods Group Inc. and Subsidiaries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98"/>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98"/>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740" w:type="dxa"/>
            <w:vAlign w:val="bottom"/>
            <w:gridSpan w:val="2"/>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15,232</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$2,077 and $2,119</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105,618</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185,486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178,827</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133,136</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trade names and other intangibles, net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603,065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596,520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2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51,617</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17,287</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150,635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143,264</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108,711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29,028</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308,537</w:t>
            </w: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Series A Participating Preferred Stock, par value $0.001; 100,000 shares authorized, no shares issued and</w:t>
            </w:r>
          </w:p>
        </w:tc>
        <w:tc>
          <w:tcPr>
            <w:tcW w:w="1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 1,000,000 shares authorized; no shares issued and outstanding</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54,153,391 and 54,153,391 shares</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issued and 52,155,968 and 52,155,968 shares outstanding as of March 31, 2024 and December 31, 2023,</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respectively</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80" w:type="dxa"/>
            <w:vAlign w:val="bottom"/>
            <w:gridSpan w:val="3"/>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Treasury stock, at cost; 1,997,423 shares as of March 31, 2024, and 1,997,423 shares as of December 31,</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603,094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(308,688)</w:t>
            </w:r>
          </w:p>
        </w:tc>
        <w:tc>
          <w:tcPr>
            <w:tcW w:w="0" w:type="dxa"/>
            <w:vAlign w:val="bottom"/>
          </w:tcPr>
          <w:p>
            <w:pPr>
              <w:spacing w:after="0"/>
              <w:rPr>
                <w:sz w:val="1"/>
                <w:szCs w:val="1"/>
                <w:color w:val="auto"/>
              </w:rPr>
            </w:pPr>
          </w:p>
        </w:tc>
      </w:tr>
      <w:tr>
        <w:trPr>
          <w:trHeight w:val="20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286,661</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288,162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287,983</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603,065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596,520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995" w:right="3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HF Foods Group Inc. and Subsidiaries Condensed Consolidated Statements of Operations and Comprehensive Loss (In thousands, except share and per share data) (Unaudited)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291,562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w:t>
            </w:r>
          </w:p>
        </w:tc>
      </w:tr>
      <w:tr>
        <w:trPr>
          <w:trHeight w:val="212"/>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295,654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293,855</w:t>
            </w:r>
          </w:p>
        </w:tc>
      </w:tr>
      <w:tr>
        <w:trPr>
          <w:trHeight w:val="270"/>
        </w:trPr>
        <w:tc>
          <w:tcPr>
            <w:tcW w:w="8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241,457</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12"/>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245,243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243,683</w:t>
            </w:r>
          </w:p>
        </w:tc>
      </w:tr>
      <w:tr>
        <w:trPr>
          <w:trHeight w:val="270"/>
        </w:trPr>
        <w:tc>
          <w:tcPr>
            <w:tcW w:w="8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50,172</w:t>
            </w:r>
          </w:p>
        </w:tc>
      </w:tr>
      <w:tr>
        <w:trPr>
          <w:trHeight w:val="270"/>
        </w:trPr>
        <w:tc>
          <w:tcPr>
            <w:tcW w:w="8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52,929</w:t>
            </w:r>
          </w:p>
        </w:tc>
      </w:tr>
      <w:tr>
        <w:trPr>
          <w:trHeight w:val="208"/>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(2,757)</w:t>
            </w:r>
          </w:p>
        </w:tc>
      </w:tr>
      <w:tr>
        <w:trPr>
          <w:trHeight w:val="218"/>
        </w:trPr>
        <w:tc>
          <w:tcPr>
            <w:tcW w:w="8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income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8"/>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(8,023)</w:t>
            </w:r>
          </w:p>
        </w:tc>
      </w:tr>
      <w:tr>
        <w:trPr>
          <w:trHeight w:val="272"/>
        </w:trPr>
        <w:tc>
          <w:tcPr>
            <w:tcW w:w="8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12"/>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(5,797)</w:t>
            </w:r>
          </w:p>
        </w:tc>
      </w:tr>
      <w:tr>
        <w:trPr>
          <w:trHeight w:val="270"/>
        </w:trPr>
        <w:tc>
          <w:tcPr>
            <w:tcW w:w="8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2"/>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AND COMPREHENSIVE LOSS ATTRIBUTABLE TO HF FOODS GROUP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(5,933)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COMMON SHARE - 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COMMON SHARE -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52,155,968</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53,822,794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52,155,968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53,822,794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c>
          <w:tcPr>
            <w:tcW w:w="80" w:type="dxa"/>
            <w:vAlign w:val="bottom"/>
          </w:tcPr>
          <w:p>
            <w:pPr>
              <w:spacing w:after="0"/>
              <w:rPr>
                <w:sz w:val="20"/>
                <w:szCs w:val="20"/>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(5,797)</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40"/>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tax benefit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0" w:type="dxa"/>
            <w:vAlign w:val="bottom"/>
          </w:tcPr>
          <w:p>
            <w:pPr>
              <w:spacing w:after="0"/>
              <w:rPr>
                <w:sz w:val="1"/>
                <w:szCs w:val="1"/>
                <w:color w:val="auto"/>
              </w:rPr>
            </w:pPr>
          </w:p>
        </w:tc>
      </w:tr>
      <w:tr>
        <w:trPr>
          <w:trHeight w:val="2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lease expense</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Lease guarantee income</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non-cash expense (income)</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3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9,822</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33"/>
        </w:trPr>
        <w:tc>
          <w:tcPr>
            <w:tcW w:w="7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0" w:type="dxa"/>
            <w:vAlign w:val="bottom"/>
          </w:tcPr>
          <w:p>
            <w:pPr>
              <w:spacing w:after="0"/>
              <w:rPr>
                <w:sz w:val="1"/>
                <w:szCs w:val="1"/>
                <w:color w:val="auto"/>
              </w:rPr>
            </w:pPr>
          </w:p>
        </w:tc>
      </w:tr>
      <w:tr>
        <w:trPr>
          <w:trHeight w:val="2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7,055</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12,570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w:t>
            </w:r>
          </w:p>
        </w:tc>
        <w:tc>
          <w:tcPr>
            <w:tcW w:w="0" w:type="dxa"/>
            <w:vAlign w:val="bottom"/>
          </w:tcPr>
          <w:p>
            <w:pPr>
              <w:spacing w:after="0"/>
              <w:rPr>
                <w:sz w:val="1"/>
                <w:szCs w:val="1"/>
                <w:color w:val="auto"/>
              </w:rPr>
            </w:pPr>
          </w:p>
        </w:tc>
      </w:tr>
      <w:tr>
        <w:trPr>
          <w:trHeight w:val="23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345,697</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298,195</w:t>
            </w: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(349,082)</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(306,808)</w:t>
            </w:r>
          </w:p>
        </w:tc>
        <w:tc>
          <w:tcPr>
            <w:tcW w:w="0" w:type="dxa"/>
            <w:vAlign w:val="bottom"/>
          </w:tcPr>
          <w:p>
            <w:pPr>
              <w:spacing w:after="0"/>
              <w:rPr>
                <w:sz w:val="1"/>
                <w:szCs w:val="1"/>
                <w:color w:val="auto"/>
              </w:rPr>
            </w:pPr>
          </w:p>
        </w:tc>
      </w:tr>
      <w:tr>
        <w:trPr>
          <w:trHeight w:val="23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4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(1,487)</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(18,753)</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2,983</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(6,812)</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15,232</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24,289</w:t>
            </w:r>
          </w:p>
        </w:tc>
        <w:tc>
          <w:tcPr>
            <w:tcW w:w="0" w:type="dxa"/>
            <w:vAlign w:val="bottom"/>
          </w:tcPr>
          <w:p>
            <w:pPr>
              <w:spacing w:after="0"/>
              <w:rPr>
                <w:sz w:val="1"/>
                <w:szCs w:val="1"/>
                <w:color w:val="auto"/>
              </w:rPr>
            </w:pPr>
          </w:p>
        </w:tc>
      </w:tr>
      <w:tr>
        <w:trPr>
          <w:trHeight w:val="241"/>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18,215</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333" w:right="5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7"/>
                <w:szCs w:val="7"/>
                <w:color w:val="auto"/>
              </w:rPr>
            </w:pPr>
          </w:p>
        </w:tc>
        <w:tc>
          <w:tcPr>
            <w:tcW w:w="900" w:type="dxa"/>
            <w:vAlign w:val="bottom"/>
            <w:gridSpan w:val="2"/>
            <w:vMerge w:val="restart"/>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center"/>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2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HF Foods Group</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53,813,777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598,322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(306,514)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291,813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296,249</w:t>
            </w:r>
          </w:p>
        </w:tc>
        <w:tc>
          <w:tcPr>
            <w:tcW w:w="0" w:type="dxa"/>
            <w:vAlign w:val="bottom"/>
          </w:tcPr>
          <w:p>
            <w:pPr>
              <w:spacing w:after="0"/>
              <w:rPr>
                <w:sz w:val="1"/>
                <w:szCs w:val="1"/>
                <w:color w:val="auto"/>
              </w:rPr>
            </w:pPr>
          </w:p>
        </w:tc>
      </w:tr>
      <w:tr>
        <w:trPr>
          <w:trHeight w:val="193"/>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equity compensation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withheld for tax</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withholdings on vested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53,844,492</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599,384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(312,447)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286,942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291,514</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603,094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(308,688)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286,661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287,983</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206"/>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603,832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(309,382)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288,162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and subsidiaries (collectively “HF Foods”,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Foods, which operates solely in the United States. The Company's customer base consists primarily of Asian restaurants, and it provides sales and service support to customers who mainly converse in Mandarin or Chinese dialects.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spacing w:after="0" w:line="20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2023 filed with the SEC on March 26, 2024 (our “2023 Annual Report”). There have been no material changes to our significant accounting policies as compared to the significant accounting policies described in our 2023 Annual Report.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loss equal to the percentage of the economic or ownership interest retained in such entity by the respective noncontrolling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2024, the Company has one VIE, AnHeart, Inc. (“AnHeart”), for which the Company is not the primary beneficiary and therefore does not consolidate. The Company did not incur expenses from VIEs and did not have any sales to or income from any VIEs during the three months ended March 31, 2024 and 2023. See </w:t>
      </w:r>
      <w:r>
        <w:rPr>
          <w:rFonts w:ascii="Times New Roman" w:cs="Times New Roman" w:eastAsia="Times New Roman" w:hAnsi="Times New Roman"/>
          <w:sz w:val="18"/>
          <w:szCs w:val="18"/>
          <w:i w:val="1"/>
          <w:iCs w:val="1"/>
          <w:color w:val="auto"/>
        </w:rPr>
        <w:t>Note 13 - Commitments and Contingencies</w:t>
      </w:r>
      <w:r>
        <w:rPr>
          <w:rFonts w:ascii="Times New Roman" w:cs="Times New Roman" w:eastAsia="Times New Roman" w:hAnsi="Times New Roman"/>
          <w:sz w:val="18"/>
          <w:szCs w:val="18"/>
          <w:color w:val="auto"/>
        </w:rPr>
        <w:t xml:space="preserve"> for additional information on AnHeart.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noncontrolling interest equity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noncontrolling interest at</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 Foods Industrial, LLC ("HFFI")</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7"/>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6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impairment of goodwill, and the purchase price allocation and fair value of assets and liabilities acquired with respect to business combinations.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The impact of the adoption of this ASU is not expected to have a material effect on the Company’s financial position, or operations, however, the Company is currently evaluating the impact of this standard on its disclosures to the consolidated financial statements.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to disclose specific categories in its annual effective tax rate reconciliation and disaggregated information about significant reconciling items by jurisdiction and by nature. ASU 2023-09 also requires entities to disclose their income tax payments (net of refunds) to international, federal, and state and local jurisdictions. This guidance is effective for fiscal years beginning after December 15, 2024, and requires prospective application with the option to apply it retrospectively. Early adoption is permitted. The Company is currently evaluating the impact of this guidance on the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Borders>
              <w:bottom w:val="single" w:sz="8" w:color="auto"/>
            </w:tcBorders>
          </w:tcPr>
          <w:p>
            <w:pPr>
              <w:spacing w:after="0"/>
              <w:rPr>
                <w:sz w:val="20"/>
                <w:szCs w:val="20"/>
                <w:color w:val="auto"/>
              </w:rPr>
            </w:pPr>
          </w:p>
        </w:tc>
      </w:tr>
      <w:tr>
        <w:trPr>
          <w:trHeight w:val="26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22"/>
                <w:szCs w:val="22"/>
                <w:color w:val="auto"/>
              </w:rPr>
            </w:pPr>
          </w:p>
        </w:tc>
      </w:tr>
      <w:tr>
        <w:trPr>
          <w:trHeight w:val="25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80,209</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77,824</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Fresh Produce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7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8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295,654</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losses was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expected credit losses/doubtful accounts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write-offs</w:t>
            </w: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185,641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137,989</w:t>
            </w: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133,136</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$2.6 million for the three months ended March 31, 2024 and 2023.</w:t>
      </w:r>
    </w:p>
    <w:p>
      <w:pPr>
        <w:sectPr>
          <w:pgSz w:w="11900" w:h="16838" w:orient="portrait"/>
          <w:cols w:equalWidth="0" w:num="1">
            <w:col w:w="11240"/>
          </w:cols>
          <w:pgMar w:left="320" w:top="1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6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Ownership as of March</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60" w:type="dxa"/>
            <w:vAlign w:val="bottom"/>
          </w:tcPr>
          <w:p>
            <w:pPr>
              <w:spacing w:after="0"/>
              <w:rPr>
                <w:sz w:val="15"/>
                <w:szCs w:val="15"/>
                <w:color w:val="auto"/>
              </w:rPr>
            </w:pPr>
          </w:p>
        </w:tc>
        <w:tc>
          <w:tcPr>
            <w:tcW w:w="19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15"/>
                <w:szCs w:val="15"/>
                <w:color w:val="auto"/>
              </w:rPr>
            </w:pPr>
          </w:p>
        </w:tc>
        <w:tc>
          <w:tcPr>
            <w:tcW w:w="1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 ("Asahi")</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Accounting Standards Codification (“ASC”) Topic 321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investments, if any. The investment in Asahi is accounted for under the equity method due to the fact that the Company has significant influence but does not exercise control over this investee. The Company determined there was no impairment as of March 31, 2024 for these investments.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fees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Self-insurance liability</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38"/>
        </w:trPr>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4"/>
        </w:trPr>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18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200" w:type="dxa"/>
            <w:vAlign w:val="bottom"/>
            <w:gridSpan w:val="2"/>
            <w:vMerge w:val="continue"/>
          </w:tcPr>
          <w:p>
            <w:pPr>
              <w:spacing w:after="0"/>
              <w:rPr>
                <w:sz w:val="11"/>
                <w:szCs w:val="11"/>
                <w:color w:val="auto"/>
              </w:rPr>
            </w:pPr>
          </w:p>
        </w:tc>
        <w:tc>
          <w:tcPr>
            <w:tcW w:w="11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Identical Assets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5940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ind w:left="6140"/>
        <w:spacing w:after="0"/>
        <w:rPr>
          <w:sz w:val="20"/>
          <w:szCs w:val="20"/>
          <w:color w:val="auto"/>
        </w:rPr>
      </w:pPr>
      <w:r>
        <w:rPr>
          <w:rFonts w:ascii="Times New Roman" w:cs="Times New Roman" w:eastAsia="Times New Roman" w:hAnsi="Times New Roman"/>
          <w:sz w:val="14"/>
          <w:szCs w:val="14"/>
          <w:color w:val="auto"/>
        </w:rPr>
        <w:t>(In thousands)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40"/>
        <w:spacing w:after="0"/>
        <w:tabs>
          <w:tab w:leader="none" w:pos="1880" w:val="left"/>
          <w:tab w:leader="none" w:pos="2740" w:val="left"/>
          <w:tab w:leader="none" w:pos="3060" w:val="left"/>
          <w:tab w:leader="none" w:pos="3860" w:val="left"/>
          <w:tab w:leader="none" w:pos="4240" w:val="left"/>
          <w:tab w:leader="none" w:pos="5120" w:val="left"/>
          <w:tab w:leader="none" w:pos="5440" w:val="left"/>
          <w:tab w:leader="none" w:pos="6220" w:val="left"/>
          <w:tab w:leader="none" w:pos="6600" w:val="left"/>
          <w:tab w:leader="none" w:pos="7460" w:val="left"/>
          <w:tab w:leader="none" w:pos="7780" w:val="left"/>
          <w:tab w:leader="none" w:pos="8580" w:val="left"/>
          <w:tab w:leader="none" w:pos="8980" w:val="left"/>
          <w:tab w:leader="none" w:pos="9840" w:val="left"/>
          <w:tab w:leader="none" w:pos="10160" w:val="left"/>
          <w:tab w:leader="none" w:pos="10940" w:val="left"/>
        </w:tabs>
        <w:rPr>
          <w:sz w:val="20"/>
          <w:szCs w:val="20"/>
          <w:color w:val="auto"/>
        </w:rPr>
      </w:pPr>
      <w:r>
        <w:rPr>
          <w:rFonts w:ascii="Times New Roman" w:cs="Times New Roman" w:eastAsia="Times New Roman" w:hAnsi="Times New Roman"/>
          <w:sz w:val="14"/>
          <w:szCs w:val="14"/>
          <w:color w:val="auto"/>
        </w:rPr>
        <w:t>Interest rate swaps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781</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781</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412</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412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40"/>
        <w:spacing w:after="0"/>
        <w:tabs>
          <w:tab w:leader="none" w:pos="1880" w:val="left"/>
          <w:tab w:leader="none" w:pos="2740" w:val="left"/>
          <w:tab w:leader="none" w:pos="3060" w:val="left"/>
          <w:tab w:leader="none" w:pos="3920" w:val="left"/>
          <w:tab w:leader="none" w:pos="4240" w:val="left"/>
          <w:tab w:leader="none" w:pos="5120" w:val="left"/>
          <w:tab w:leader="none" w:pos="5440" w:val="left"/>
          <w:tab w:leader="none" w:pos="6280" w:val="left"/>
          <w:tab w:leader="none" w:pos="6600" w:val="left"/>
          <w:tab w:leader="none" w:pos="7460" w:val="left"/>
          <w:tab w:leader="none" w:pos="7780" w:val="left"/>
          <w:tab w:leader="none" w:pos="8420" w:val="left"/>
          <w:tab w:leader="none" w:pos="8980" w:val="left"/>
          <w:tab w:leader="none" w:pos="9840" w:val="left"/>
          <w:tab w:leader="none" w:pos="10160" w:val="left"/>
          <w:tab w:leader="none" w:pos="10780" w:val="left"/>
        </w:tabs>
        <w:rPr>
          <w:sz w:val="20"/>
          <w:szCs w:val="20"/>
          <w:color w:val="auto"/>
        </w:rPr>
      </w:pPr>
      <w:r>
        <w:rPr>
          <w:rFonts w:ascii="Times New Roman" w:cs="Times New Roman" w:eastAsia="Times New Roman" w:hAnsi="Times New Roman"/>
          <w:sz w:val="14"/>
          <w:szCs w:val="14"/>
          <w:color w:val="auto"/>
        </w:rPr>
        <w:t>Interest rate swaps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(1,601)</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(1,601)</w:t>
      </w:r>
    </w:p>
    <w:p>
      <w:pPr>
        <w:spacing w:after="0" w:line="3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clarifies the definition of fair value, prescribes methods for measuring fair value, and establishes a fair value hierarchy to classify the inputs used in measuring fair value as follows:</w:t>
      </w:r>
    </w:p>
    <w:p>
      <w:pPr>
        <w:spacing w:after="0" w:line="18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Derivative Financial Instruments</w:t>
      </w:r>
      <w:r>
        <w:rPr>
          <w:rFonts w:ascii="Times New Roman" w:cs="Times New Roman" w:eastAsia="Times New Roman" w:hAnsi="Times New Roman"/>
          <w:sz w:val="18"/>
          <w:szCs w:val="18"/>
          <w:color w:val="auto"/>
        </w:rPr>
        <w:t xml:space="preserve"> for additional information regarding the Company’s interest rate swaps.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debt as described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including the current portion,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183"/>
        </w:trPr>
        <w:tc>
          <w:tcPr>
            <w:tcW w:w="20" w:type="dxa"/>
            <w:vAlign w:val="bottom"/>
          </w:tcPr>
          <w:p>
            <w:pPr>
              <w:spacing w:after="0"/>
              <w:rPr>
                <w:sz w:val="15"/>
                <w:szCs w:val="15"/>
                <w:color w:val="auto"/>
              </w:rPr>
            </w:pPr>
          </w:p>
        </w:tc>
        <w:tc>
          <w:tcPr>
            <w:tcW w:w="46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104,791</w:t>
            </w: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70"/>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32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106,079</w:t>
            </w:r>
          </w:p>
        </w:tc>
        <w:tc>
          <w:tcPr>
            <w:tcW w:w="4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106,079</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34"/>
        </w:trPr>
        <w:tc>
          <w:tcPr>
            <w:tcW w:w="2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280" w:type="dxa"/>
            <w:vAlign w:val="bottom"/>
          </w:tcPr>
          <w:p>
            <w:pPr>
              <w:spacing w:after="0"/>
              <w:rPr>
                <w:sz w:val="20"/>
                <w:szCs w:val="20"/>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for additional information regarding the Company's debt.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three months ended March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carried at nonrecurring fair value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goodwill impairment assessment as of December 31, 2023, as a result of the Company’s results of operations compared to previous forecasts, combined with the level of the Company’s stock price. The fair value was determined using an average of the income approach, comparable public company analysis, and comparable acquisitions analysis. The fair value of the reporting unit exceeded the carrying value, and therefore the Company concluded no impairment was required to be recorded during the year ended December 31, 2023.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in 2023 resulted in an estimated fair value that exceeded carrying value by approximately 10% at December 31, 2023. The most critical assumptions in determining fair value using the income approach were projections of future cash flows such as forecasted revenue growth rates, gross profit margins, and the discount rate. The market approaches were primarily impacted by an enterprise value multiple of EBITDA. A significant change in these assumptions or a sustained decline in the Company’s stock price could result in an interim impairment test and/or potential goodwill impairment in the future.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during the three months ended March 31, 2024 that would more likely than not reduce the fair value of the reporting unit below its carrying amount. Goodwill was $85.1 million as of March 31, 2024 and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intangible assets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4"/>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65"/>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29,162</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147,181</w:t>
            </w:r>
          </w:p>
        </w:tc>
      </w:tr>
      <w:tr>
        <w:trPr>
          <w:trHeight w:val="26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177,806</w:t>
            </w: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was $4.1 million for the three months ended March 31,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BOA IRS was modified accordingly to fix the SOFR based loan to approximately 4.50%. The term loan and corresponding BOA IRS contract mature in December 2029.</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aforementioned IRS contracts currently in place and did not designate those as cash flow hedges. Hence, the fair value change on these IRS contracts are accounted for and recognized as a change in fair value of IRS contracts in the condensed consolidated statements of operations and comprehensive income (loss).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 determined that the fair values of the IRS contracts were $0.8 million in an asset position. As of December 31, 2023, the fair values of the IRS contracts were $0.4 million in an asset position and $1.6 million in a liability position. The Company includes these in other long-term assets and other long-term liabilities, respectively, on the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March 31, 2024 and December 31, 2023 is summarized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8"/>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5"/>
        </w:trPr>
        <w:tc>
          <w:tcPr>
            <w:tcW w:w="27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100" w:type="dxa"/>
            <w:vAlign w:val="bottom"/>
            <w:tcBorders>
              <w:bottom w:val="single" w:sz="8" w:color="CCEEFF"/>
            </w:tcBorders>
          </w:tcPr>
          <w:p>
            <w:pPr>
              <w:spacing w:after="0"/>
              <w:rPr>
                <w:sz w:val="23"/>
                <w:szCs w:val="23"/>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63"/>
        </w:trPr>
        <w:tc>
          <w:tcPr>
            <w:tcW w:w="27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Bank of America </w:t>
            </w:r>
            <w:r>
              <w:rPr>
                <w:rFonts w:ascii="Times New Roman" w:cs="Times New Roman" w:eastAsia="Times New Roman" w:hAnsi="Times New Roman"/>
                <w:sz w:val="28"/>
                <w:szCs w:val="28"/>
                <w:color w:val="auto"/>
                <w:vertAlign w:val="superscript"/>
              </w:rPr>
              <w:t>(a)</w:t>
            </w:r>
          </w:p>
        </w:tc>
        <w:tc>
          <w:tcPr>
            <w:tcW w:w="100" w:type="dxa"/>
            <w:vAlign w:val="bottom"/>
            <w:shd w:val="clear" w:color="auto" w:fill="CCEEFF"/>
          </w:tcPr>
          <w:p>
            <w:pPr>
              <w:spacing w:after="0"/>
              <w:rPr>
                <w:sz w:val="22"/>
                <w:szCs w:val="22"/>
                <w:color w:val="auto"/>
              </w:rPr>
            </w:pPr>
          </w:p>
        </w:tc>
        <w:tc>
          <w:tcPr>
            <w:tcW w:w="3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October 2026 - December 2029</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4.34% - 7.95%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70"/>
        </w:trPr>
        <w:tc>
          <w:tcPr>
            <w:tcW w:w="28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8"/>
                <w:szCs w:val="28"/>
                <w:color w:val="auto"/>
                <w:vertAlign w:val="superscript"/>
              </w:rPr>
              <w:t>(b)</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2027 - September 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7.64% - 9.00%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70"/>
        </w:trPr>
        <w:tc>
          <w:tcPr>
            <w:tcW w:w="28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JPMorgan Chase </w:t>
            </w:r>
            <w:r>
              <w:rPr>
                <w:rFonts w:ascii="Times New Roman" w:cs="Times New Roman" w:eastAsia="Times New Roman" w:hAnsi="Times New Roman"/>
                <w:sz w:val="28"/>
                <w:szCs w:val="28"/>
                <w:color w:val="auto"/>
                <w:vertAlign w:val="superscript"/>
              </w:rPr>
              <w:t>(c)</w:t>
            </w:r>
          </w:p>
        </w:tc>
        <w:tc>
          <w:tcPr>
            <w:tcW w:w="3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2030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 - 7.44%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106,337</w:t>
            </w:r>
          </w:p>
        </w:tc>
      </w:tr>
      <w:tr>
        <w:trPr>
          <w:trHeight w:val="270"/>
        </w:trPr>
        <w:tc>
          <w:tcPr>
            <w:tcW w:w="2820" w:type="dxa"/>
            <w:vAlign w:val="bottom"/>
            <w:tcBorders>
              <w:bottom w:val="single" w:sz="8" w:color="CCEEFF"/>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Other finance institutions </w:t>
            </w:r>
            <w:r>
              <w:rPr>
                <w:rFonts w:ascii="Times New Roman" w:cs="Times New Roman" w:eastAsia="Times New Roman" w:hAnsi="Times New Roman"/>
                <w:sz w:val="28"/>
                <w:szCs w:val="28"/>
                <w:color w:val="auto"/>
                <w:vertAlign w:val="superscript"/>
              </w:rPr>
              <w:t>(d)</w:t>
            </w:r>
          </w:p>
        </w:tc>
        <w:tc>
          <w:tcPr>
            <w:tcW w:w="30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2024</w:t>
            </w:r>
          </w:p>
        </w:tc>
        <w:tc>
          <w:tcPr>
            <w:tcW w:w="1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5.99% - 6.17%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4"/>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114,419</w:t>
            </w:r>
          </w:p>
        </w:tc>
      </w:tr>
      <w:tr>
        <w:trPr>
          <w:trHeight w:val="24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2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114,161</w:t>
            </w:r>
          </w:p>
        </w:tc>
      </w:tr>
      <w:tr>
        <w:trPr>
          <w:trHeight w:val="24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7"/>
        </w:trPr>
        <w:tc>
          <w:tcPr>
            <w:tcW w:w="2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49"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and equipment term loan, collateralized by one real property and specific equipment. The real estate term loan is pegged to TERM SOFR + 2.5%.</w:t>
      </w:r>
    </w:p>
    <w:p>
      <w:pPr>
        <w:spacing w:after="0" w:line="1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three real properties. Balloon payments of $1.8 million and $2.9 million are due at maturity in 2027 and 2029, respectively.</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$105.0 million as of March 31, 2024 and $106.3 million as of December 31, 2023 is secured by assets held by the Company and has a maturity date of January 2030.</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vehicles.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March 31, 2024, the Company was in compliance with its covenants.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6, 2024, the Company amended the JPM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JPM Credit Agreement and; (iii) remove certain sublease income from various financial covenants.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 Earnings (Loss) Per Share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1,470,541 and 851,443 potential common shares related to performance-based restricted stock units and restricted stock units that were excluded from the calculation of diluted EPS for the three months ended March 31, 2024 and 2023, respectively, because their effect could have been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 except share and per share data)</w:t>
            </w: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HF Foods Group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52,155,968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53,822,794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52,155,968</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53,822,794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common share: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March 31, 2024, the Company had no subsidiaries outside the U.S., as such, no foreign income tax was recorded.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Company's effective income tax rate of 24.5% and 27.7%, respectively, differed from the federal statutory tax rate primarily as a result of permanent differences and state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Xiao Mou Zhang (“Mr. Zhang”), the Chief Executive Officer of the Company, and certain of his immediate family members (collectively greater than 10% shareholders)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March 31, 2024 and December 31, 2023 and for the three months ended March 31, 2024 and 2023 are identified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Purchases, and Lease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three months ended March 31,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0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Nature</w:t>
            </w:r>
          </w:p>
        </w:tc>
        <w:tc>
          <w:tcPr>
            <w:tcW w:w="260" w:type="dxa"/>
            <w:vAlign w:val="bottom"/>
          </w:tcPr>
          <w:p>
            <w:pPr>
              <w:spacing w:after="0"/>
              <w:rPr>
                <w:sz w:val="19"/>
                <w:szCs w:val="19"/>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Trade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Conexus Food Solutions (formerly known as Best Food Services, LLC)</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Trade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Fresh NJ, LLC</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Trade</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Ocean Pacific Seafood Group, Inc.</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Trade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Rainfield Ranches, LP</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Trade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0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1"/>
        </w:trPr>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three months ended March 31, 2024 and 2023:</w:t>
      </w:r>
    </w:p>
    <w:p>
      <w:pPr>
        <w:spacing w:after="0" w:line="28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Asahi Food, Inc.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Conexus Food Solutions (formerly known as Best Food Services, LLC)</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Eagle Food Service, LLC</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First Choice Seafood, Inc.</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Fortune One Foods, Inc.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N&amp;F Logistics, Inc.</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Union Food LLC</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2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was $0.1 million for the three months ended March 31, 2024 and 2023, which is included in distribution, selling and administrative expenses in the condensed consolidated statements of operations and comprehensive loss.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Rental income was $36 thousand for the three months ended March 31, 2024 and 2023, which is included in other income in the condensed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 Related Parties,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March 31, 2024 and December 31, 2023,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Pr>
          <w:p>
            <w:pPr>
              <w:spacing w:after="0"/>
              <w:rPr>
                <w:sz w:val="23"/>
                <w:szCs w:val="23"/>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3"/>
                <w:szCs w:val="23"/>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Food, Inc.</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Conexus Food Solutions (formerly known as Best Food Services, LLC)</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Enson Seafood GA, Inc. (formerly known as GA-GW Seafood, Inc.)</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Union Food LLC</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60" w:type="dxa"/>
            <w:vAlign w:val="bottom"/>
          </w:tcPr>
          <w:p>
            <w:pPr>
              <w:spacing w:after="0"/>
              <w:rPr>
                <w:sz w:val="19"/>
                <w:szCs w:val="19"/>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
        </w:trPr>
        <w:tc>
          <w:tcPr>
            <w:tcW w:w="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reserved for 100% of the accounts receivable for Union Food LLC as of December 31, 2023 and wrote-off the receivable during the three months ended March 31, 2024. The Company has reserved for 100% of the accounts receivable for Enson Seafood GA, Inc. as of March 31, 2024 and December 31, 2023. All other accounts receivable from these related parties are current and considered fully collectible. No additional allowance is deemed necessary as of March 31, 2024 and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March 31, 2024 and December 31, 2023,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3"/>
                <w:szCs w:val="23"/>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Conexus Food Solutions (formerly as 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71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71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the Company began issuing awards under the HF Foods Group Inc. 2018 Omnibus Equity Incentive Plan (the “2018 Incentive Plan”), which reserves up to 3,000,000 shares of the Company's common stock for issuance of awards to employees, non-employee directors and consultants. As of March 31, 2024, the Company had 808,807 time-based vesting restricted stock units unvested, 627,803 performance-based restricted stock units unvested, 531,222 shares of common stock vested and 1,032,168 shares remaining available for future awards under the 2018 Incentive Plan.</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$0.7 million and $1.1 million for the three months ended March 31, 2024 and 2023, respectively. Stock-based compensation expense was included in distribution, selling and administrative expenses in the Company's unaudited condensed consolidated statements of income and comprehensive loss.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there was $3.5 million of total unrecognized compensation cost related to all non-vested outstanding RSUs and PSUs outstanding under the 2018 Incentive Plan, with a weighted average remaining service period of 1.65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2023, the Company received a “Wells Notice” from the staff of the SEC (the “Wells Notice”) relating to the previously disclosed formal, non-public SEC investigation of allegations that the Company and certain of its current and former directors and officers violated the Securities Exchange Act of 1934 and Rule 10b-5 promulgated thereunder by making allegedly false and misleading statements. A Wells Notice is neither a formal charge of wrongdoing nor a final determination that the recipient has violated any law and invites recipients to submit a response if they wish. The Company made a submission in response to the Wells Notice explaining why an enforcement action would not be appropriate. Following that submission, the staff of the SEC determined that it would no longer be recommending that the SEC file an enforcement action against the Company at this time pending a potential agreed-upon resolution between the Company and the SEC. The Company is in negotiations with the SEC over a potential resolution, which could include fines and penalties, but the terms of that settlement are not final. The Company has made no formal offer of settlement to the SEC as of this filing, and therefore, a reasonable estimate of the contingency cannot be made.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AnHeart Lease Guarantee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a guarantee for two separate leases for two properties located in Manhattan, New York, at 273 Fifth Avenue and 275 Fifth Avenue, for 30 years and 15 years, respectively. The Company has determined that AnHeart is a VIE as a result of the guarantee. However, the Company concluded it is not the primary beneficiary of AnHeart and therefore does not consolidate, because it does not have the power to direct the activities of AnHeart that most significantly impact AnHeart's economic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incurred $1.3 million in construction costs which was recorded in construction in progress within property and equipment, net in the Company’s condensed consolidated balance sheet as of March 31, 2024. The Company expects to complete construction in the first quarter of 2025.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As of the filing of the new summons and complaint, AnHeart and Minsheng are indebted to the Company in the amount of $474,000.</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10 years. The Company elected a policy to apply the discounted cash flow method to loss contingencies with more than 18 months of payments. AnHeart is obligated to pay all costs associated with the properties, including taxes, insurance, utilities, maintenance and repairs. During the year ended December 31, 2022, the Company recorded a lease guarantee liability of $5.9 million. The Company determined the discounted value of the lease guarantee liability using a discount rate of 4.55%. As of March 31, 2024, the Company had a lease guarantee liability of $5.4 million. The current portion of the lease guarantee liability of $0.4 million is recorded in accrued expenses and other liabilities, while the long-term portion is recorded in other long-term liabilities on the consolidated balance sheet. The Company's monthly rental payments range from approximately $42,000 per month to $63,000 per month, with the final payment due in 2034. See </w:t>
      </w:r>
      <w:r>
        <w:rPr>
          <w:rFonts w:ascii="Times New Roman" w:cs="Times New Roman" w:eastAsia="Times New Roman" w:hAnsi="Times New Roman"/>
          <w:sz w:val="18"/>
          <w:szCs w:val="18"/>
          <w:i w:val="1"/>
          <w:iCs w:val="1"/>
          <w:color w:val="auto"/>
        </w:rPr>
        <w:t>Note 14 - Subsequent Events</w:t>
      </w:r>
      <w:r>
        <w:rPr>
          <w:rFonts w:ascii="Times New Roman" w:cs="Times New Roman" w:eastAsia="Times New Roman" w:hAnsi="Times New Roman"/>
          <w:sz w:val="18"/>
          <w:szCs w:val="18"/>
          <w:color w:val="auto"/>
        </w:rPr>
        <w:t xml:space="preserve"> for additional information regarding the 275 Fifth Avenue lease.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future minimum lease payments as of March 31, 2024 are presented below:</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7"/>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7"/>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 Amendment</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11, 2024, the Company entered into Amendment No. 1 to the Preferred Stock Rights Agreement (the “Rights Agreement”), dated as of April 11, 2023, between the Company and Equiniti Trust Company, LLC (f/k/a American Stock Transfer &amp; Trust Company, LLC), as rights agent, to extend the expiration date of the rights under the Rights Agreement from April 11, 2024 to April 11,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Lease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Effective April 30, 2024, the Company through its subsidiary assumed the lease of a building located on the premises of 275 Fifth Avenue, New York, New York. The Company was the guarantor of this lease under a lease guarantee agreement dated July 2018, and in February 2022, upon receiving notice of default, the Company undertook its lease guarantee obligations. The assumption of the lease had no impact on the Company’s obligations as guarantor. See </w:t>
      </w:r>
      <w:r>
        <w:rPr>
          <w:rFonts w:ascii="Times New Roman" w:cs="Times New Roman" w:eastAsia="Times New Roman" w:hAnsi="Times New Roman"/>
          <w:sz w:val="18"/>
          <w:szCs w:val="18"/>
          <w:i w:val="1"/>
          <w:iCs w:val="1"/>
          <w:color w:val="auto"/>
        </w:rPr>
        <w:t xml:space="preserve">Note 13 - Commitments and Contingencies </w:t>
      </w:r>
      <w:r>
        <w:rPr>
          <w:rFonts w:ascii="Times New Roman" w:cs="Times New Roman" w:eastAsia="Times New Roman" w:hAnsi="Times New Roman"/>
          <w:sz w:val="18"/>
          <w:szCs w:val="18"/>
          <w:color w:val="auto"/>
        </w:rPr>
        <w:t>for disclosures pertaining to the lease guarantee obligation.</w:t>
      </w:r>
    </w:p>
    <w:p>
      <w:pPr>
        <w:spacing w:after="0" w:line="1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lease covers certain portions of the ground floor, lower lever, and second floor of the building. The lease term ends on April 30, 2034 and is renewable at the option of the Company for up to two additional five-year terms. The Company shall pay rent of approximately $45,000 per month with provisions for yearly increases.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8" w:name="page19"/>
    <w:bookmarkEnd w:id="1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spacing w:after="0" w:line="7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margins in the foodservice distribution industry and periods of significant or prolonged inflation or deflation;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in the United States;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foodservice distribution industry particularly the entry of new competitors into the Chinese/Asian restaurant supply market niche;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vendors and increases in product prices;</w:t>
      </w:r>
    </w:p>
    <w:p>
      <w:pPr>
        <w:spacing w:after="0" w:line="9"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Dependency on the timely delivery of products from vendors, particularly the prolonged diminution of global supply chains;</w:t>
      </w:r>
    </w:p>
    <w:p>
      <w:pPr>
        <w:spacing w:after="0" w:line="14" w:lineRule="exact"/>
        <w:rPr>
          <w:rFonts w:ascii="Arial" w:cs="Arial" w:eastAsia="Arial" w:hAnsi="Arial"/>
          <w:sz w:val="22"/>
          <w:szCs w:val="22"/>
          <w:color w:val="auto"/>
        </w:rPr>
      </w:pPr>
    </w:p>
    <w:p>
      <w:pPr>
        <w:ind w:left="660" w:hanging="328"/>
        <w:spacing w:after="0" w:line="23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other pandemics;</w:t>
      </w:r>
    </w:p>
    <w:p>
      <w:pPr>
        <w:ind w:left="660" w:right="720" w:hanging="328"/>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taken by the governments where our suppliers are located, including the People’s Republic of China, to address the COVID-19 pandemic or other pandemics;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or loss of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eating and dining out habits;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 possible conflicts of interests;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Related parties and variable interest entities consolidation;</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replace our current warehouse leases on favorable terms, or terminations prior to expiration of stated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and other key personnel, particularly our CEO, President and COO, CFO and General Counsel and CCO;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enforcement of immigration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federal, state and local rules and regulations regarding food safety, sanitation, transportation, minimum wage, overtime and other health and safety laws;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comply with environmental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investigations and potential enforcement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tariffs on products imported into the United States, particularly from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adverse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incident, other technology disruption or delay in implementing our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indebtedness affecting our liquidity and ability of future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other distributors or wholesalers and enlarge our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and competition for acquisition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acquisition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non-cash charges relating to the amortization of intangible assets related to material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in order to successfully implement our acquisition strategy;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personnel, and assets of acquired businesses that may disrupt our business, dilute stockholder value, and adversely affect our operating results;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price and demand for our common stock resulting from the relative illiquidity of the market for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stockholders’ ability to significantly influence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anti-takeover laws and related provisions in our governance documents.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2023, filed with the SEC.</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aim to supply the increasing demand for Asian American restaurant cuisine, leveraging our nationwide network of distribution centers and our strong relations with growers and suppliers of fresh, high-quality specialty restaurant food products and supplies in the US, South America, and China. Capitalizing on our deep understanding of the Chinese culture, we have become a trusted partner serving Asian restaurants and other foodservice customers throughout the United States, providing sales and service support to customers who mainly converse in Mandarin or other Chinese dialects. We are dedicated to serving the vast array of Asian restaurants in need of high-quality and specialized food ingredients at competitive prices.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Transformation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spacing w:after="0" w:line="10"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Centralized Purchasing: </w:t>
      </w:r>
      <w:r>
        <w:rPr>
          <w:rFonts w:ascii="Times New Roman" w:cs="Times New Roman" w:eastAsia="Times New Roman" w:hAnsi="Times New Roman"/>
          <w:sz w:val="18"/>
          <w:szCs w:val="18"/>
          <w:color w:val="auto"/>
        </w:rPr>
        <w:t>We began the roll out of our centralized purchasing program with seafood products and have yielded significant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with respect to margin expansion for the product category. We are now focusing on expanding the program to other categories.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Fleet and Transportation: </w:t>
      </w:r>
      <w:r>
        <w:rPr>
          <w:rFonts w:ascii="Times New Roman" w:cs="Times New Roman" w:eastAsia="Times New Roman" w:hAnsi="Times New Roman"/>
          <w:sz w:val="18"/>
          <w:szCs w:val="18"/>
          <w:color w:val="auto"/>
        </w:rPr>
        <w:t>We have established a national fleet maintenance program. Within this, we plan to define new truck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 a replacement program for 50% of our current fleet, implement a national fuel savings program to maximize efficiency, and outsource domestic inbound freight logistics to a third-party partner to adopt a cohesive national approach to its supply chain. This is expected to deliver substantial improvements to our transportation system.</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Transformation: </w:t>
      </w:r>
      <w:r>
        <w:rPr>
          <w:rFonts w:ascii="Times New Roman" w:cs="Times New Roman" w:eastAsia="Times New Roman" w:hAnsi="Times New Roman"/>
          <w:sz w:val="18"/>
          <w:szCs w:val="18"/>
          <w:color w:val="auto"/>
        </w:rPr>
        <w:t>We will be implementing a modern ERP solution across all of our distribution centers. This is expected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operational efficiency and responsiveness, streamlined processes, and greater data driven decision-making.</w:t>
      </w:r>
    </w:p>
    <w:p>
      <w:pPr>
        <w:spacing w:after="0" w:line="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Facility Upgrades: </w:t>
      </w:r>
      <w:r>
        <w:rPr>
          <w:rFonts w:ascii="Times New Roman" w:cs="Times New Roman" w:eastAsia="Times New Roman" w:hAnsi="Times New Roman"/>
          <w:sz w:val="18"/>
          <w:szCs w:val="18"/>
          <w:color w:val="auto"/>
        </w:rPr>
        <w:t>We will be reorganizing and upgrading our facilities and distribution centers to efficiently streamline costs, and to capitalize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cross-selling opportunities with both new and existing customers.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318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146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1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295,654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NM</w:t>
        <w:tab/>
        <w:t>Not meaningful</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non-GAAP financial measures, EBITDA and Adjusted EBITDA, see the section entitled “EBITDA and Adjusted EBITDA”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Foods’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spacing w:after="0" w:line="203" w:lineRule="exact"/>
        <w:rPr>
          <w:sz w:val="20"/>
          <w:szCs w:val="20"/>
          <w:color w:val="auto"/>
        </w:rPr>
      </w:pPr>
    </w:p>
    <w:p>
      <w:pPr>
        <w:ind w:left="1300" w:hanging="482"/>
        <w:spacing w:after="0"/>
        <w:tabs>
          <w:tab w:leader="none" w:pos="13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w:t>
      </w:r>
    </w:p>
    <w:p>
      <w:pPr>
        <w:spacing w:after="0" w:line="27" w:lineRule="exact"/>
        <w:rPr>
          <w:rFonts w:ascii="Times New Roman" w:cs="Times New Roman" w:eastAsia="Times New Roman" w:hAnsi="Times New Roman"/>
          <w:sz w:val="18"/>
          <w:szCs w:val="18"/>
          <w:b w:val="1"/>
          <w:bCs w:val="1"/>
          <w:color w:val="auto"/>
        </w:rPr>
      </w:pPr>
    </w:p>
    <w:p>
      <w:pPr>
        <w:ind w:left="1300" w:right="20" w:hanging="482"/>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ind w:left="1300" w:hanging="482"/>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23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additional information on EBITDA and Adjusted EBITDA and a reconciliation to their most directly comparable U.S. GAAP financial measures, see “</w:t>
      </w:r>
      <w:r>
        <w:rPr>
          <w:rFonts w:ascii="Times New Roman" w:cs="Times New Roman" w:eastAsia="Times New Roman" w:hAnsi="Times New Roman"/>
          <w:sz w:val="18"/>
          <w:szCs w:val="18"/>
          <w:i w:val="1"/>
          <w:iCs w:val="1"/>
          <w:color w:val="auto"/>
        </w:rPr>
        <w:t>Results of Operations — EBITDA and Adjusted EBITDA</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2024 to Three Months Ended March 31, 2023</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three months ended March 31, 2024 and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historical results presented below are not necessarily indicative of the results that may be expected for any future period.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7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243,683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6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7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7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r>
      <w:tr>
        <w:trPr>
          <w:trHeight w:val="27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6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7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w:t>
            </w: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36830</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gridSpan w:val="2"/>
          </w:tcPr>
          <w:p>
            <w:pPr>
              <w:ind w:left="79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
        </w:trPr>
        <w:tc>
          <w:tcPr>
            <w:tcW w:w="7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for the three months ended March 31, 2024 increased by $1.8 million, or 0.6%, compared to the same period in 2023. This increase was primarily attributable to product cost inflation and improved pricing in certain categories, partially offset by the $2.7 million loss in revenue resulting from the exit of our chicken processing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was $50.4 million for three months ended March 31, 2024 compared to $50.2 million in the same period in 2023, an increase of $0.2 million, or 0.5%. Gross profit margin for the three months ended March 31, 2024 was flat at 17.1% in the same period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selling and administrative expenses decreased by $2.4 million, or 4.6%, for the three months ended March 31, 2024 primarily due to a decrease of $2.8 million in professional fees, partially offset by higher payroll and related labor costs. Distribution, selling and administrative expenses as a percentage of net revenue decreased to 17.1% for the three months ended March 31, 2024 from 18.0% in the same period in 2023, primarily due to lower professional fees and increased net revenue, partially offset by increased headcount.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March 31, 2024 of $2.8 million remained consistent compared to the three months ended March 31, 2023, having decreased slightly from $2.9 million. Average floating interest rates on our floating-rate debt for the three months ended March 31, 2024 increased by approximately 0.8% on our line of credit and 0.8% on the JPMorgan Chase mortgage-secured term loan, compared to the same period in 2023. Our average daily line of credit balance increased by $2.0 million, or 4.8%, to $44.7 million for the three months ended March 31, 2024 from $42.6 million for the three months ended March 31, 2023, and our average daily JPMorgan Chase mortgage-secured term loan balance decreased by $5 million, or 4.6%, to $105.5 million for the three months ended March 31, 2024 from $110.5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benefit was $181,000 for the three months ended March 31, 2024, compared to an income tax benefit of $2.2 million for the three months ended March 31, 2023, primarily due to a decrease in loss before income taxes, permanent differences and state income taxes during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HF Foods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HF Foods Group Inc. was $0.7 million for the three months ended March 31, 2024, compared to net loss of $5.9 million for the three months ended March 31, 2023. The improvement of $5.2 million, or 88.3%, is primarily due to the impact from changes in the fair value of interest rate swap and the decreased distribution, selling, and administrative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measure: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5,238</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7,236</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(4,716)</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Business transformation costs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non-routine expense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8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660" w:hanging="652"/>
        <w:spacing w:after="0" w:line="250" w:lineRule="auto"/>
        <w:tabs>
          <w:tab w:leader="none" w:pos="4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launch of strategic projects including supply chain management improvements and technology infrastructure initiatives.</w:t>
      </w: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contested proxy and related legal and consulting costs and facility closure costs.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cash of approximately $18.2 million, checks issued not presented for payment of $8.7 million and access to approximately $40.9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March 31,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have no off 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three months ended March 31,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7,055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3"/>
                <w:szCs w:val="23"/>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2,983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w:t>
            </w:r>
          </w:p>
        </w:tc>
      </w:tr>
      <w:tr>
        <w:trPr>
          <w:trHeight w:val="21"/>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decreased by $5.5 million, or 44%, primarily due to the timing of working capital outlays partially offset by improved operating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$2.0 million, or 311%, primarily due to increased capital project spend in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$17.3 million to $1.5 million used in financing activities primarily due to checks issued not presented for payment activity for the three months ended March 31, 2024 compared to the three months ended March 31, 2023, as well as net line of credit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2023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three months ended March 31, 2024. Additionally, see </w:t>
      </w:r>
      <w:r>
        <w:rPr>
          <w:rFonts w:ascii="Times New Roman" w:cs="Times New Roman" w:eastAsia="Times New Roman" w:hAnsi="Times New Roman"/>
          <w:sz w:val="18"/>
          <w:szCs w:val="18"/>
          <w:i w:val="1"/>
          <w:iCs w:val="1"/>
          <w:color w:val="auto"/>
        </w:rPr>
        <w:t>Note 6 - Goodwill and Acquired Intangible Assets</w:t>
      </w:r>
      <w:r>
        <w:rPr>
          <w:rFonts w:ascii="Times New Roman" w:cs="Times New Roman" w:eastAsia="Times New Roman" w:hAnsi="Times New Roman"/>
          <w:sz w:val="18"/>
          <w:szCs w:val="18"/>
          <w:color w:val="auto"/>
        </w:rPr>
        <w:t xml:space="preserve"> of our unaudited condensed consolidated financial statements on this Form 10-Q for disclosure regarding the Company’s at risk single reporting unit.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ind w:right="270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in this Quarterly Report on Form 10-Q.</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to the unaudited condensed consolidated financial statements 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2024, our aggregate floating rate debt’s outstanding principal balance without hedging was $57.4 million, or 34.2% of total debt, consisting primarily of our revolving line of credit (see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to the unaudited condensed consolidated financial statements in this Quarterly Report on Form 10-Q). Our floating rate debt interest is based on the floating 1-month SOFR plus a predetermined credit adjustment rate plus the bank spread. The remaining 65.8% of our debt is on a fixed rate or a floating rate with hedging. In a hypothetical scenario, a 1% change in the applicable rate would cause the interest expense on our floating rate debt to change by approximately $0.6 million per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first quarter of 2024 decreased in comparison to average prices in the same period in 2023, decreasing 9.7%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the price fluctuation of diesel fuel in general. Instead, we seek to minimize fuel cost risk through delivery route optimization and fleet utilization improvement.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2023, we identified material weaknesses as were reported previously, which continue to exist as of March 31, 2024. We did not properly design or maintain effective controls over the control environment, risk assessment, control activities, information and communication components and monitoring of the Committee of Sponsoring Organizations of the Treadway Commission in 2013.</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2023, our disclosure controls and procedures were not effective as of March 31, 2024.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 and Disclosure Controls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remediation efforts previously disclosed, there have been no changes in our internal controls over financial reporting for the quarter ended March 31, 2024, that have materially affected, or are reasonably likely to materially affect, our internal controls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 w:cs="Times New Roman" w:eastAsia="Times New Roman" w:hAnsi="Times New Roman"/>
          <w:sz w:val="18"/>
          <w:szCs w:val="18"/>
          <w:i w:val="1"/>
          <w:iCs w:val="1"/>
          <w:color w:val="auto"/>
        </w:rPr>
        <w:t>Note 13 -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3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of our Annual Report on Form 10-K for the year ended December 31, 2023.</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officers or directors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 or are filed or furnished with this report as indicated below:</w:t>
      </w:r>
    </w:p>
    <w:p>
      <w:pPr>
        <w:spacing w:after="0" w:line="10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887" w:right="339" w:bottom="1440" w:gutter="0" w:footer="0" w:header="0"/>
        </w:sectPr>
      </w:pPr>
    </w:p>
    <w:p>
      <w:pPr>
        <w:spacing w:after="0" w:line="50" w:lineRule="exact"/>
        <w:rPr>
          <w:sz w:val="20"/>
          <w:szCs w:val="20"/>
          <w:color w:val="auto"/>
        </w:rPr>
      </w:pPr>
    </w:p>
    <w:p>
      <w:pPr>
        <w:ind w:left="20" w:right="14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3.1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3.2</w:t>
        </w:r>
      </w:hyperlink>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3.3</w:t>
        </w:r>
      </w:hyperlink>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3.4</w:t>
        </w:r>
      </w:hyperlink>
    </w:p>
    <w:p>
      <w:pPr>
        <w:spacing w:after="0" w:line="1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3.5</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4.1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4.2</w:t>
        </w:r>
      </w:hyperlink>
    </w:p>
    <w:p>
      <w:pPr>
        <w:spacing w:after="0" w:line="1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10.1</w:t>
        </w:r>
      </w:hyperlink>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lef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Second Amended and Restated Certificate of Incorporation</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Certificate of Amendment to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Amended and Restated Bylaws</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First Amendment to Amended and Restated Bylaws, dated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Certificate of Designation of Rights, Preferences and Privileges of Series A Participating</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Preferred Stock</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Form of Unit Purchase Option between the Registrant and Chardan Capital Markets, LLC</w:t>
        </w:r>
      </w:hyperlink>
    </w:p>
    <w:p>
      <w:pPr>
        <w:spacing w:after="0" w:line="23"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Amendment No. 1 to Third Amended and Restated Credit Agreement, dated as of February</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6, 2024</w:t>
        </w:r>
      </w:hyperlink>
    </w:p>
    <w:p>
      <w:pPr>
        <w:spacing w:after="0" w:line="10"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 and Rule 15d-14(a), promulgated under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5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 and Rule 15d-14(a), promulgated under the Securities and Exchange Act of 1934, as amended.</w:t>
      </w:r>
    </w:p>
    <w:p>
      <w:pPr>
        <w:spacing w:after="0" w:line="10"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83185</wp:posOffset>
            </wp:positionV>
            <wp:extent cx="5469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8/11/2017</w:t>
            </w:r>
          </w:p>
        </w:tc>
      </w:tr>
      <w:tr>
        <w:trPr>
          <w:trHeight w:val="22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8/27/2018</w:t>
            </w:r>
          </w:p>
        </w:tc>
      </w:tr>
      <w:tr>
        <w:trPr>
          <w:trHeight w:val="23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11/4/2022</w:t>
            </w:r>
          </w:p>
        </w:tc>
      </w:tr>
      <w:tr>
        <w:trPr>
          <w:trHeight w:val="23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4/26/2023</w:t>
            </w:r>
          </w:p>
        </w:tc>
      </w:tr>
      <w:tr>
        <w:trPr>
          <w:trHeight w:val="32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4/11/2023</w:t>
            </w:r>
          </w:p>
        </w:tc>
      </w:tr>
      <w:tr>
        <w:trPr>
          <w:trHeight w:val="31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23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32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-1619885</wp:posOffset>
            </wp:positionV>
            <wp:extent cx="2040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496" w:lineRule="exact"/>
        <w:rPr>
          <w:sz w:val="20"/>
          <w:szCs w:val="20"/>
          <w:color w:val="auto"/>
        </w:rPr>
      </w:pPr>
    </w:p>
    <w:p>
      <w:pPr>
        <w:sectPr>
          <w:pgSz w:w="11900" w:h="16838" w:orient="portrait"/>
          <w:cols w:equalWidth="0" w:num="3">
            <w:col w:w="800" w:space="420"/>
            <w:col w:w="6580" w:space="220"/>
            <w:col w:w="3220"/>
          </w:cols>
          <w:pgMar w:left="320" w:top="887" w:right="339" w:bottom="1440" w:gutter="0" w:footer="0" w:header="0"/>
          <w:type w:val="continuous"/>
        </w:sectPr>
      </w:pPr>
    </w:p>
    <w:p>
      <w:pPr>
        <w:ind w:left="600" w:hanging="574"/>
        <w:spacing w:after="0"/>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600" w:hanging="574"/>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ind w:left="600" w:hanging="574"/>
        <w:spacing w:after="0"/>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Xiao Mou Zhang</w:t>
      </w:r>
    </w:p>
    <w:p>
      <w:pPr>
        <w:ind w:left="4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Cindy Yao</w:t>
      </w:r>
    </w:p>
    <w:p>
      <w:pPr>
        <w:ind w:left="46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6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887"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Mou Zhang,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7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Cindy Yao,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March 31, 2024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76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March 31, 2024 as filed with the Securities and Exchange Commission on the date hereof (the “Report”), I, Cindy Yao, Chief Financial Officer,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42" Type="http://schemas.openxmlformats.org/officeDocument/2006/relationships/hyperlink" Target="https://www.sec.gov/Archives/edgar/data/1680873/000143774919021487/ex_162902.htm" TargetMode="External"/><Relationship Id="rId43" Type="http://schemas.openxmlformats.org/officeDocument/2006/relationships/hyperlink" Target="https://www.sec.gov/Archives/edgar/data/1680873/000161577418008665/s112256ex3_1-2.htm" TargetMode="External"/><Relationship Id="rId44" Type="http://schemas.openxmlformats.org/officeDocument/2006/relationships/hyperlink" Target="https://www.sec.gov/Archives/edgar/data/1680873/000168087322000056/ex302-arbylawsxnovember2022.htm" TargetMode="External"/><Relationship Id="rId45" Type="http://schemas.openxmlformats.org/officeDocument/2006/relationships/hyperlink" Target="https://www.sec.gov/Archives/edgar/data/1680873/000168087323000016/exhibit31-bylawamendment.htm" TargetMode="External"/><Relationship Id="rId46" Type="http://schemas.openxmlformats.org/officeDocument/2006/relationships/hyperlink" Target="https://www.sec.gov/Archives/edgar/data/1680873/000119312523098200/d425223dex31.htm" TargetMode="External"/><Relationship Id="rId47" Type="http://schemas.openxmlformats.org/officeDocument/2006/relationships/hyperlink" Target="https://www.sec.gov/Archives/edgar/data/1680873/000161577417003872/s106920_ex4-2.htm" TargetMode="External"/><Relationship Id="rId48" Type="http://schemas.openxmlformats.org/officeDocument/2006/relationships/hyperlink" Target="https://www.sec.gov/Archives/edgar/data/1680873/000161577417003872/s106920_ex4-5.htm" TargetMode="External"/><Relationship Id="rId49" Type="http://schemas.openxmlformats.org/officeDocument/2006/relationships/hyperlink" Target="https://www.sec.gov/Archives/edgar/data/1680873/000168087324000001/exhibit101amendmentno1tot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2024-05-10T15:39:03Z</dcterms:created>
  <dcterms:modified xsi:type="dcterms:W3CDTF">2024-05-10T15:39:03Z</dcterms:modified>
</cp:coreProperties>
</file>