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_________________________________________</w:t>
      </w:r>
    </w:p>
    <w:p>
      <w:pPr>
        <w:pStyle w:val="TextBody"/>
        <w:bidi w:val="0"/>
        <w:spacing w:lineRule="auto" w:line="288" w:before="200" w:after="283"/>
        <w:jc w:val="center"/>
        <w:rPr>
          <w:rFonts w:ascii="Arial;sans-serif" w:hAnsi="Arial;sans-serif"/>
          <w:b/>
          <w:color w:val="000000"/>
          <w:sz w:val="28"/>
        </w:rPr>
      </w:pPr>
      <w:r>
        <w:rPr>
          <w:rFonts w:ascii="Arial;sans-serif" w:hAnsi="Arial;sans-serif"/>
          <w:b/>
          <w:color w:val="000000"/>
          <w:sz w:val="28"/>
        </w:rPr>
        <w:t>FORM 10-K</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_________________________________________</w:t>
      </w:r>
    </w:p>
    <w:tbl>
      <w:tblPr>
        <w:tblW w:w="9372" w:type="dxa"/>
        <w:jc w:val="center"/>
        <w:tblInd w:w="0" w:type="dxa"/>
        <w:tblLayout w:type="fixed"/>
        <w:tblCellMar>
          <w:top w:w="28" w:type="dxa"/>
          <w:left w:w="28" w:type="dxa"/>
          <w:bottom w:w="28" w:type="dxa"/>
          <w:right w:w="28" w:type="dxa"/>
        </w:tblCellMar>
      </w:tblPr>
      <w:tblGrid>
        <w:gridCol w:w="124"/>
        <w:gridCol w:w="109"/>
        <w:gridCol w:w="109"/>
        <w:gridCol w:w="2641"/>
        <w:gridCol w:w="2641"/>
        <w:gridCol w:w="3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w:t>
            </w:r>
          </w:p>
        </w:tc>
        <w:tc>
          <w:tcPr>
            <w:tcW w:w="90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ANNUAL REPORT PURSUANT TO SECTION 13 OR 15(d) OF THE SECURITIES EXCHANGE ACT OF 1934</w:t>
            </w:r>
          </w:p>
        </w:tc>
      </w:tr>
    </w:tbl>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 xml:space="preserve">For the fiscal year ended December 31, 2025 </w:t>
      </w:r>
    </w:p>
    <w:p>
      <w:pPr>
        <w:pStyle w:val="TextBody"/>
        <w:bidi w:val="0"/>
        <w:spacing w:lineRule="auto" w:line="288" w:before="180" w:after="283"/>
        <w:jc w:val="center"/>
        <w:rPr>
          <w:rFonts w:ascii="Arial;sans-serif" w:hAnsi="Arial;sans-serif"/>
          <w:b/>
          <w:color w:val="000000"/>
          <w:sz w:val="18"/>
        </w:rPr>
      </w:pPr>
      <w:r>
        <w:rPr>
          <w:rFonts w:ascii="Arial;sans-serif" w:hAnsi="Arial;sans-serif"/>
          <w:b/>
          <w:color w:val="000000"/>
          <w:sz w:val="18"/>
        </w:rPr>
        <w:t>OR</w:t>
      </w:r>
    </w:p>
    <w:tbl>
      <w:tblPr>
        <w:tblW w:w="9686" w:type="dxa"/>
        <w:jc w:val="center"/>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Commission file number 001-38180</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_________________________________________</w:t>
      </w:r>
    </w:p>
    <w:p>
      <w:pPr>
        <w:pStyle w:val="TextBody"/>
        <w:bidi w:val="0"/>
        <w:spacing w:before="120" w:after="283"/>
        <w:jc w:val="center"/>
        <w:rPr/>
      </w:pPr>
      <w:r>
        <w:rPr/>
        <w:drawing>
          <wp:inline distT="0" distB="0" distL="0" distR="0">
            <wp:extent cx="2743200"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838200"/>
                    </a:xfrm>
                    <a:prstGeom prst="rect">
                      <a:avLst/>
                    </a:prstGeom>
                  </pic:spPr>
                </pic:pic>
              </a:graphicData>
            </a:graphic>
          </wp:inline>
        </w:drawing>
      </w:r>
      <w:bookmarkStart w:id="0" w:name="i-1"/>
      <w:bookmarkEnd w:id="0"/>
    </w:p>
    <w:p>
      <w:pPr>
        <w:pStyle w:val="TextBody"/>
        <w:bidi w:val="0"/>
        <w:spacing w:lineRule="auto" w:line="288" w:before="180" w:after="283"/>
        <w:jc w:val="center"/>
        <w:rPr>
          <w:rFonts w:ascii="Arial;sans-serif" w:hAnsi="Arial;sans-serif"/>
          <w:b/>
          <w:color w:val="000000"/>
          <w:sz w:val="24"/>
        </w:rPr>
      </w:pPr>
      <w:r>
        <w:rPr>
          <w:rFonts w:ascii="Arial;sans-serif" w:hAnsi="Arial;sans-serif"/>
          <w:b/>
          <w:color w:val="000000"/>
          <w:sz w:val="24"/>
        </w:rPr>
        <w:t>HF Foods Group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(Exact name of registrant as specified in its charter)</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_________________________________________</w:t>
      </w:r>
    </w:p>
    <w:tbl>
      <w:tblPr>
        <w:tblW w:w="5295" w:type="dxa"/>
        <w:jc w:val="left"/>
        <w:tblInd w:w="0" w:type="dxa"/>
        <w:tblLayout w:type="fixed"/>
        <w:tblCellMar>
          <w:top w:w="28" w:type="dxa"/>
          <w:left w:w="28" w:type="dxa"/>
          <w:bottom w:w="28" w:type="dxa"/>
          <w:right w:w="28" w:type="dxa"/>
        </w:tblCellMar>
      </w:tblPr>
      <w:tblGrid>
        <w:gridCol w:w="1348"/>
        <w:gridCol w:w="1183"/>
        <w:gridCol w:w="1189"/>
        <w:gridCol w:w="461"/>
        <w:gridCol w:w="461"/>
        <w:gridCol w:w="653"/>
      </w:tblGrid>
      <w:tr>
        <w:trPr/>
        <w:tc>
          <w:tcPr>
            <w:tcW w:w="134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Delaware</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(State or other jurisdiction of</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incorporation or organization)</w:t>
            </w:r>
          </w:p>
        </w:tc>
        <w:tc>
          <w:tcPr>
            <w:tcW w:w="15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81-2717873</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(I.R.S. Employer</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Identification No.)</w:t>
            </w:r>
          </w:p>
        </w:tc>
      </w:tr>
      <w:tr>
        <w:trPr/>
        <w:tc>
          <w:tcPr>
            <w:tcW w:w="372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 xml:space="preserve">6325 South Rainbow Boulevard, Suite 420 </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Las Vegas, NV</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15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89118</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(888) 905-0998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_________________________________________</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Securities registered pursuant to Section 12(b) of the Act:</w:t>
      </w:r>
    </w:p>
    <w:tbl>
      <w:tblPr>
        <w:tblW w:w="8963" w:type="dxa"/>
        <w:jc w:val="left"/>
        <w:tblInd w:w="0" w:type="dxa"/>
        <w:tblLayout w:type="fixed"/>
        <w:tblCellMar>
          <w:top w:w="28" w:type="dxa"/>
          <w:left w:w="28" w:type="dxa"/>
          <w:bottom w:w="28" w:type="dxa"/>
          <w:right w:w="28" w:type="dxa"/>
        </w:tblCellMar>
      </w:tblPr>
      <w:tblGrid>
        <w:gridCol w:w="1065"/>
        <w:gridCol w:w="936"/>
        <w:gridCol w:w="939"/>
        <w:gridCol w:w="109"/>
        <w:gridCol w:w="109"/>
        <w:gridCol w:w="109"/>
        <w:gridCol w:w="524"/>
        <w:gridCol w:w="524"/>
        <w:gridCol w:w="526"/>
        <w:gridCol w:w="109"/>
        <w:gridCol w:w="109"/>
        <w:gridCol w:w="109"/>
        <w:gridCol w:w="1108"/>
        <w:gridCol w:w="1108"/>
        <w:gridCol w:w="1579"/>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29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HFFG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Nasdaq Capital Market</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Preferred Share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Nasdaq Capital Market</w:t>
            </w:r>
          </w:p>
        </w:tc>
      </w:tr>
    </w:tbl>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Securities registered pursuant to Section 12(g) of the Act: None</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_________________________________________</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Indicate by check mark if the registrant is a well-known seasoned issuer, as defined in Rule 405 of the Securities Act. Yes ☐  No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Indicate by check mark if the registrant is not required to file reports pursuant to Section 13 or Section 15(d) of the Act. Yes ☐  No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285" w:type="dxa"/>
        <w:jc w:val="left"/>
        <w:tblInd w:w="0" w:type="dxa"/>
        <w:tblLayout w:type="fixed"/>
        <w:tblCellMar>
          <w:top w:w="28" w:type="dxa"/>
          <w:left w:w="28" w:type="dxa"/>
          <w:bottom w:w="28" w:type="dxa"/>
          <w:right w:w="28" w:type="dxa"/>
        </w:tblCellMar>
      </w:tblPr>
      <w:tblGrid>
        <w:gridCol w:w="705"/>
        <w:gridCol w:w="620"/>
        <w:gridCol w:w="624"/>
        <w:gridCol w:w="109"/>
        <w:gridCol w:w="109"/>
        <w:gridCol w:w="109"/>
        <w:gridCol w:w="109"/>
        <w:gridCol w:w="109"/>
        <w:gridCol w:w="109"/>
        <w:gridCol w:w="769"/>
        <w:gridCol w:w="769"/>
        <w:gridCol w:w="772"/>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Exchange Act.)  Yes ☐ No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 xml:space="preserve">The aggregate market value of the registrant’s common stock held by non-affiliates of the registrant as of June 30, 2025, the last business day of the registrant’s most recently completed second fiscal quarter, was approximately $143.6 million.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As of March 9, 2026, there were 53,043,832 shares of the registrant’s common stock, par value $0.0001, outstanding.</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DOCUMENTS INCORPORATED BY REFERENCE:</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Portions of the registrant’s Proxy Statement for the 2025 Annual Meeting of Stockholders are incorporated herein by reference in Part III of this Annual Report on Form 10-K to the extent stated herein. The registrant’s Proxy Statement will be filed with the Securities and Exchange Commission within 120 days of the registrant’s fiscal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2"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HF FOODS GROUP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Annual Report on Form 10-K</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 the Fiscal Year Ended December 31, 2025</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TABLE OF CONTENTS</w:t>
      </w:r>
    </w:p>
    <w:tbl>
      <w:tblPr>
        <w:tblW w:w="10205" w:type="dxa"/>
        <w:jc w:val="left"/>
        <w:tblInd w:w="0" w:type="dxa"/>
        <w:tblLayout w:type="fixed"/>
        <w:tblCellMar>
          <w:top w:w="28" w:type="dxa"/>
          <w:left w:w="28" w:type="dxa"/>
          <w:bottom w:w="28" w:type="dxa"/>
          <w:right w:w="28" w:type="dxa"/>
        </w:tblCellMar>
      </w:tblPr>
      <w:tblGrid>
        <w:gridCol w:w="1769"/>
        <w:gridCol w:w="1502"/>
        <w:gridCol w:w="1502"/>
        <w:gridCol w:w="1502"/>
        <w:gridCol w:w="1502"/>
        <w:gridCol w:w="1545"/>
        <w:gridCol w:w="256"/>
        <w:gridCol w:w="256"/>
        <w:gridCol w:w="371"/>
      </w:tblGrid>
      <w:tr>
        <w:trPr/>
        <w:tc>
          <w:tcPr>
            <w:tcW w:w="176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932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151">
              <w:r>
                <w:rPr>
                  <w:rStyle w:val="InternetLink"/>
                  <w:rFonts w:ascii="Arial;sans-serif" w:hAnsi="Arial;sans-serif"/>
                  <w:b/>
                  <w:strike w:val="false"/>
                  <w:dstrike w:val="false"/>
                  <w:color w:val="000000"/>
                  <w:sz w:val="18"/>
                  <w:u w:val="none"/>
                  <w:effect w:val="none"/>
                </w:rPr>
                <w:t>PART I</w:t>
              </w:r>
            </w:hyperlink>
          </w:p>
        </w:tc>
        <w:tc>
          <w:tcPr>
            <w:tcW w:w="8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Page No.</w:t>
            </w:r>
          </w:p>
        </w:tc>
      </w:tr>
      <w:tr>
        <w:trPr/>
        <w:tc>
          <w:tcPr>
            <w:tcW w:w="4773" w:type="dxa"/>
            <w:gridSpan w:val="3"/>
            <w:tcBorders/>
            <w:vAlign w:val="center"/>
          </w:tcPr>
          <w:p>
            <w:pPr>
              <w:pStyle w:val="TableContents"/>
              <w:bidi w:val="0"/>
              <w:spacing w:before="0" w:after="283"/>
              <w:jc w:val="left"/>
              <w:rPr>
                <w:sz w:val="4"/>
                <w:szCs w:val="4"/>
              </w:rPr>
            </w:pPr>
            <w:r>
              <w:rPr>
                <w:sz w:val="4"/>
                <w:szCs w:val="4"/>
              </w:rPr>
            </w:r>
          </w:p>
        </w:tc>
        <w:tc>
          <w:tcPr>
            <w:tcW w:w="4549"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tcPr>
          <w:p>
            <w:pPr>
              <w:pStyle w:val="TableContents"/>
              <w:bidi w:val="0"/>
              <w:spacing w:before="0" w:after="283"/>
              <w:jc w:val="left"/>
              <w:rPr>
                <w:sz w:val="4"/>
                <w:szCs w:val="4"/>
              </w:rPr>
            </w:pPr>
            <w:r>
              <w:rPr>
                <w:sz w:val="4"/>
                <w:szCs w:val="4"/>
              </w:rPr>
            </w:r>
          </w:p>
        </w:tc>
      </w:tr>
      <w:tr>
        <w:trPr/>
        <w:tc>
          <w:tcPr>
            <w:tcW w:w="9322"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217">
              <w:r>
                <w:rPr>
                  <w:rStyle w:val="InternetLink"/>
                  <w:rFonts w:ascii="Arial;sans-serif" w:hAnsi="Arial;sans-serif"/>
                  <w:b/>
                  <w:strike w:val="false"/>
                  <w:dstrike w:val="false"/>
                  <w:color w:val="000000"/>
                  <w:sz w:val="18"/>
                  <w:u w:val="none"/>
                  <w:effect w:val="none"/>
                </w:rPr>
                <w:t>Item 1. Business</w:t>
              </w:r>
            </w:hyperlink>
          </w:p>
        </w:tc>
        <w:tc>
          <w:tcPr>
            <w:tcW w:w="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i4a23716667a442c18ca358dd896e1fdb_217">
              <w:r>
                <w:rPr>
                  <w:rStyle w:val="InternetLink"/>
                  <w:rFonts w:ascii="Arial;sans-serif" w:hAnsi="Arial;sans-serif"/>
                  <w:b/>
                  <w:strike w:val="false"/>
                  <w:dstrike w:val="false"/>
                  <w:color w:val="000000"/>
                  <w:sz w:val="18"/>
                  <w:u w:val="none"/>
                  <w:effect w:val="none"/>
                </w:rPr>
                <w:t>3</w:t>
              </w:r>
            </w:hyperlink>
          </w:p>
        </w:tc>
      </w:tr>
      <w:tr>
        <w:trPr/>
        <w:tc>
          <w:tcPr>
            <w:tcW w:w="9322"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220">
              <w:r>
                <w:rPr>
                  <w:rStyle w:val="InternetLink"/>
                  <w:rFonts w:ascii="Arial;sans-serif" w:hAnsi="Arial;sans-serif"/>
                  <w:b/>
                  <w:strike w:val="false"/>
                  <w:dstrike w:val="false"/>
                  <w:color w:val="000000"/>
                  <w:sz w:val="18"/>
                  <w:u w:val="none"/>
                  <w:effect w:val="none"/>
                </w:rPr>
                <w:t>Item 1A. Risk Factors</w:t>
              </w:r>
            </w:hyperlink>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220">
              <w:r>
                <w:rPr>
                  <w:rStyle w:val="InternetLink"/>
                  <w:rFonts w:ascii="Arial;sans-serif" w:hAnsi="Arial;sans-serif"/>
                  <w:b/>
                  <w:strike w:val="false"/>
                  <w:dstrike w:val="false"/>
                  <w:color w:val="000000"/>
                  <w:sz w:val="18"/>
                  <w:u w:val="none"/>
                  <w:effect w:val="none"/>
                </w:rPr>
                <w:t>11</w:t>
              </w:r>
            </w:hyperlink>
          </w:p>
        </w:tc>
      </w:tr>
      <w:tr>
        <w:trPr/>
        <w:tc>
          <w:tcPr>
            <w:tcW w:w="9322"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223">
              <w:r>
                <w:rPr>
                  <w:rStyle w:val="InternetLink"/>
                  <w:rFonts w:ascii="Arial;sans-serif" w:hAnsi="Arial;sans-serif"/>
                  <w:b/>
                  <w:strike w:val="false"/>
                  <w:dstrike w:val="false"/>
                  <w:color w:val="000000"/>
                  <w:sz w:val="18"/>
                  <w:u w:val="none"/>
                  <w:effect w:val="none"/>
                </w:rPr>
                <w:t>Item 1B. Unresolved Staff Comments</w:t>
              </w:r>
            </w:hyperlink>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223">
              <w:r>
                <w:rPr>
                  <w:rStyle w:val="InternetLink"/>
                  <w:rFonts w:ascii="Arial;sans-serif" w:hAnsi="Arial;sans-serif"/>
                  <w:b/>
                  <w:strike w:val="false"/>
                  <w:dstrike w:val="false"/>
                  <w:color w:val="000000"/>
                  <w:sz w:val="18"/>
                  <w:u w:val="none"/>
                  <w:effect w:val="none"/>
                </w:rPr>
                <w:t>19</w:t>
              </w:r>
            </w:hyperlink>
          </w:p>
        </w:tc>
      </w:tr>
      <w:tr>
        <w:trPr/>
        <w:tc>
          <w:tcPr>
            <w:tcW w:w="9322"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226">
              <w:r>
                <w:rPr>
                  <w:rStyle w:val="InternetLink"/>
                  <w:rFonts w:ascii="Arial;sans-serif" w:hAnsi="Arial;sans-serif"/>
                  <w:b/>
                  <w:strike w:val="false"/>
                  <w:dstrike w:val="false"/>
                  <w:color w:val="000000"/>
                  <w:sz w:val="18"/>
                  <w:u w:val="none"/>
                  <w:effect w:val="none"/>
                </w:rPr>
                <w:t>Item 1C. Cybersecurity</w:t>
              </w:r>
            </w:hyperlink>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226">
              <w:r>
                <w:rPr>
                  <w:rStyle w:val="InternetLink"/>
                  <w:rFonts w:ascii="Arial;sans-serif" w:hAnsi="Arial;sans-serif"/>
                  <w:b/>
                  <w:strike w:val="false"/>
                  <w:dstrike w:val="false"/>
                  <w:color w:val="000000"/>
                  <w:sz w:val="18"/>
                  <w:u w:val="none"/>
                  <w:effect w:val="none"/>
                </w:rPr>
                <w:t>19</w:t>
              </w:r>
            </w:hyperlink>
          </w:p>
        </w:tc>
      </w:tr>
      <w:tr>
        <w:trPr/>
        <w:tc>
          <w:tcPr>
            <w:tcW w:w="9322"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229">
              <w:r>
                <w:rPr>
                  <w:rStyle w:val="InternetLink"/>
                  <w:rFonts w:ascii="Arial;sans-serif" w:hAnsi="Arial;sans-serif"/>
                  <w:b/>
                  <w:strike w:val="false"/>
                  <w:dstrike w:val="false"/>
                  <w:color w:val="000000"/>
                  <w:sz w:val="18"/>
                  <w:u w:val="none"/>
                  <w:effect w:val="none"/>
                </w:rPr>
                <w:t>Item 2. Properties</w:t>
              </w:r>
            </w:hyperlink>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229">
              <w:r>
                <w:rPr>
                  <w:rStyle w:val="InternetLink"/>
                  <w:rFonts w:ascii="Arial;sans-serif" w:hAnsi="Arial;sans-serif"/>
                  <w:b/>
                  <w:strike w:val="false"/>
                  <w:dstrike w:val="false"/>
                  <w:color w:val="000000"/>
                  <w:sz w:val="18"/>
                  <w:u w:val="none"/>
                  <w:effect w:val="none"/>
                </w:rPr>
                <w:t>20</w:t>
              </w:r>
            </w:hyperlink>
          </w:p>
        </w:tc>
      </w:tr>
      <w:tr>
        <w:trPr/>
        <w:tc>
          <w:tcPr>
            <w:tcW w:w="9322"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232">
              <w:r>
                <w:rPr>
                  <w:rStyle w:val="InternetLink"/>
                  <w:rFonts w:ascii="Arial;sans-serif" w:hAnsi="Arial;sans-serif"/>
                  <w:b/>
                  <w:strike w:val="false"/>
                  <w:dstrike w:val="false"/>
                  <w:color w:val="000000"/>
                  <w:sz w:val="18"/>
                  <w:u w:val="none"/>
                  <w:effect w:val="none"/>
                </w:rPr>
                <w:t>Item 3. Legal Proceedings</w:t>
              </w:r>
            </w:hyperlink>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232">
              <w:r>
                <w:rPr>
                  <w:rStyle w:val="InternetLink"/>
                  <w:rFonts w:ascii="Arial;sans-serif" w:hAnsi="Arial;sans-serif"/>
                  <w:b/>
                  <w:strike w:val="false"/>
                  <w:dstrike w:val="false"/>
                  <w:color w:val="000000"/>
                  <w:sz w:val="18"/>
                  <w:u w:val="none"/>
                  <w:effect w:val="none"/>
                </w:rPr>
                <w:t>21</w:t>
              </w:r>
            </w:hyperlink>
          </w:p>
        </w:tc>
      </w:tr>
      <w:tr>
        <w:trPr/>
        <w:tc>
          <w:tcPr>
            <w:tcW w:w="9322"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235">
              <w:r>
                <w:rPr>
                  <w:rStyle w:val="InternetLink"/>
                  <w:rFonts w:ascii="Arial;sans-serif" w:hAnsi="Arial;sans-serif"/>
                  <w:b/>
                  <w:strike w:val="false"/>
                  <w:dstrike w:val="false"/>
                  <w:color w:val="000000"/>
                  <w:sz w:val="18"/>
                  <w:u w:val="none"/>
                  <w:effect w:val="none"/>
                </w:rPr>
                <w:t>Item 4. Mine Safety Disclosures</w:t>
              </w:r>
            </w:hyperlink>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235">
              <w:r>
                <w:rPr>
                  <w:rStyle w:val="InternetLink"/>
                  <w:rFonts w:ascii="Arial;sans-serif" w:hAnsi="Arial;sans-serif"/>
                  <w:b/>
                  <w:strike w:val="false"/>
                  <w:dstrike w:val="false"/>
                  <w:color w:val="000000"/>
                  <w:sz w:val="18"/>
                  <w:u w:val="none"/>
                  <w:effect w:val="none"/>
                </w:rPr>
                <w:t>21</w:t>
              </w:r>
            </w:hyperlink>
          </w:p>
        </w:tc>
      </w:tr>
      <w:tr>
        <w:trPr/>
        <w:tc>
          <w:tcPr>
            <w:tcW w:w="9322"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238">
              <w:r>
                <w:rPr>
                  <w:rStyle w:val="InternetLink"/>
                  <w:rFonts w:ascii="Arial;sans-serif" w:hAnsi="Arial;sans-serif"/>
                  <w:b/>
                  <w:strike w:val="false"/>
                  <w:dstrike w:val="false"/>
                  <w:color w:val="000000"/>
                  <w:sz w:val="18"/>
                  <w:u w:val="none"/>
                  <w:effect w:val="none"/>
                </w:rPr>
                <w:t>PART II</w:t>
              </w:r>
            </w:hyperlink>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2"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241">
              <w:r>
                <w:rPr>
                  <w:rStyle w:val="InternetLink"/>
                  <w:rFonts w:ascii="Arial;sans-serif" w:hAnsi="Arial;sans-serif"/>
                  <w:b/>
                  <w:strike w:val="false"/>
                  <w:dstrike w:val="false"/>
                  <w:color w:val="000000"/>
                  <w:sz w:val="18"/>
                  <w:u w:val="none"/>
                  <w:effect w:val="none"/>
                </w:rPr>
                <w:t>Item 5. Market for Registrant's Common Equity, Related Stockholder Matters and Issuer Purchases of Equity Securities</w:t>
              </w:r>
            </w:hyperlink>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241">
              <w:r>
                <w:rPr>
                  <w:rStyle w:val="InternetLink"/>
                  <w:rFonts w:ascii="Arial;sans-serif" w:hAnsi="Arial;sans-serif"/>
                  <w:b/>
                  <w:strike w:val="false"/>
                  <w:dstrike w:val="false"/>
                  <w:color w:val="000000"/>
                  <w:sz w:val="18"/>
                  <w:u w:val="none"/>
                  <w:effect w:val="none"/>
                </w:rPr>
                <w:t>22</w:t>
              </w:r>
            </w:hyperlink>
          </w:p>
        </w:tc>
      </w:tr>
      <w:tr>
        <w:trPr/>
        <w:tc>
          <w:tcPr>
            <w:tcW w:w="9322"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244">
              <w:r>
                <w:rPr>
                  <w:rStyle w:val="InternetLink"/>
                  <w:rFonts w:ascii="Arial;sans-serif" w:hAnsi="Arial;sans-serif"/>
                  <w:b/>
                  <w:strike w:val="false"/>
                  <w:dstrike w:val="false"/>
                  <w:color w:val="000000"/>
                  <w:sz w:val="18"/>
                  <w:u w:val="none"/>
                  <w:effect w:val="none"/>
                </w:rPr>
                <w:t xml:space="preserve">Item 6. </w:t>
              </w:r>
            </w:hyperlink>
            <w:r>
              <w:rPr>
                <w:rFonts w:ascii="Arial;sans-serif" w:hAnsi="Arial;sans-serif"/>
                <w:b/>
                <w:color w:val="000000"/>
                <w:sz w:val="18"/>
              </w:rPr>
              <w:t>[Reserved]</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244">
              <w:r>
                <w:rPr>
                  <w:rStyle w:val="InternetLink"/>
                  <w:rFonts w:ascii="Arial;sans-serif" w:hAnsi="Arial;sans-serif"/>
                  <w:b/>
                  <w:strike w:val="false"/>
                  <w:dstrike w:val="false"/>
                  <w:color w:val="000000"/>
                  <w:sz w:val="18"/>
                  <w:u w:val="none"/>
                  <w:effect w:val="none"/>
                </w:rPr>
                <w:t>23</w:t>
              </w:r>
            </w:hyperlink>
          </w:p>
        </w:tc>
      </w:tr>
      <w:tr>
        <w:trPr/>
        <w:tc>
          <w:tcPr>
            <w:tcW w:w="9322"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163">
              <w:r>
                <w:rPr>
                  <w:rStyle w:val="InternetLink"/>
                  <w:rFonts w:ascii="Arial;sans-serif" w:hAnsi="Arial;sans-serif"/>
                  <w:b/>
                  <w:strike w:val="false"/>
                  <w:dstrike w:val="false"/>
                  <w:color w:val="000000"/>
                  <w:sz w:val="18"/>
                  <w:u w:val="none"/>
                  <w:effect w:val="none"/>
                </w:rPr>
                <w:t>Item 7. Management’s Discussion and Analysis of Financial Condition and Results of Operations</w:t>
              </w:r>
            </w:hyperlink>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250">
              <w:r>
                <w:rPr>
                  <w:rStyle w:val="InternetLink"/>
                  <w:rFonts w:ascii="Arial;sans-serif" w:hAnsi="Arial;sans-serif"/>
                  <w:b/>
                  <w:strike w:val="false"/>
                  <w:dstrike w:val="false"/>
                  <w:color w:val="000000"/>
                  <w:sz w:val="18"/>
                  <w:u w:val="none"/>
                  <w:effect w:val="none"/>
                </w:rPr>
                <w:t>24</w:t>
              </w:r>
            </w:hyperlink>
          </w:p>
        </w:tc>
      </w:tr>
      <w:tr>
        <w:trPr/>
        <w:tc>
          <w:tcPr>
            <w:tcW w:w="9322"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172">
              <w:r>
                <w:rPr>
                  <w:rStyle w:val="InternetLink"/>
                  <w:rFonts w:ascii="Arial;sans-serif" w:hAnsi="Arial;sans-serif"/>
                  <w:b/>
                  <w:strike w:val="false"/>
                  <w:dstrike w:val="false"/>
                  <w:color w:val="000000"/>
                  <w:sz w:val="18"/>
                  <w:u w:val="none"/>
                  <w:effect w:val="none"/>
                </w:rPr>
                <w:t>Item 7A. Quantitative and Qualitative Disclosures About Market Risk</w:t>
              </w:r>
            </w:hyperlink>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172">
              <w:r>
                <w:rPr>
                  <w:rStyle w:val="InternetLink"/>
                  <w:rFonts w:ascii="Arial;sans-serif" w:hAnsi="Arial;sans-serif"/>
                  <w:b/>
                  <w:strike w:val="false"/>
                  <w:dstrike w:val="false"/>
                  <w:color w:val="000000"/>
                  <w:sz w:val="18"/>
                  <w:u w:val="none"/>
                  <w:effect w:val="none"/>
                </w:rPr>
                <w:t>31</w:t>
              </w:r>
            </w:hyperlink>
          </w:p>
        </w:tc>
      </w:tr>
      <w:tr>
        <w:trPr/>
        <w:tc>
          <w:tcPr>
            <w:tcW w:w="9322"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13">
              <w:r>
                <w:rPr>
                  <w:rStyle w:val="InternetLink"/>
                  <w:rFonts w:ascii="Arial;sans-serif" w:hAnsi="Arial;sans-serif"/>
                  <w:b/>
                  <w:strike w:val="false"/>
                  <w:dstrike w:val="false"/>
                  <w:color w:val="000000"/>
                  <w:sz w:val="18"/>
                  <w:u w:val="none"/>
                  <w:effect w:val="none"/>
                </w:rPr>
                <w:t>Item 8. Financial Statements and Supplementary Data</w:t>
              </w:r>
            </w:hyperlink>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265">
              <w:r>
                <w:rPr>
                  <w:rStyle w:val="InternetLink"/>
                  <w:rFonts w:ascii="Arial;sans-serif" w:hAnsi="Arial;sans-serif"/>
                  <w:b/>
                  <w:strike w:val="false"/>
                  <w:dstrike w:val="false"/>
                  <w:color w:val="000000"/>
                  <w:sz w:val="18"/>
                  <w:u w:val="none"/>
                  <w:effect w:val="none"/>
                </w:rPr>
                <w:t>32</w:t>
              </w:r>
            </w:hyperlink>
          </w:p>
        </w:tc>
      </w:tr>
      <w:tr>
        <w:trPr/>
        <w:tc>
          <w:tcPr>
            <w:tcW w:w="9322"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277">
              <w:r>
                <w:rPr>
                  <w:rStyle w:val="InternetLink"/>
                  <w:rFonts w:ascii="Arial;sans-serif" w:hAnsi="Arial;sans-serif"/>
                  <w:b/>
                  <w:strike w:val="false"/>
                  <w:dstrike w:val="false"/>
                  <w:color w:val="000000"/>
                  <w:sz w:val="18"/>
                  <w:u w:val="none"/>
                  <w:effect w:val="none"/>
                </w:rPr>
                <w:t>Item 9. Changes in and Disagreements with Accountants on Accounting and Financial Disclosure</w:t>
              </w:r>
            </w:hyperlink>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277">
              <w:r>
                <w:rPr>
                  <w:rStyle w:val="InternetLink"/>
                  <w:rFonts w:ascii="Arial;sans-serif" w:hAnsi="Arial;sans-serif"/>
                  <w:b/>
                  <w:strike w:val="false"/>
                  <w:dstrike w:val="false"/>
                  <w:color w:val="000000"/>
                  <w:sz w:val="18"/>
                  <w:u w:val="none"/>
                  <w:effect w:val="none"/>
                </w:rPr>
                <w:t>68</w:t>
              </w:r>
            </w:hyperlink>
          </w:p>
        </w:tc>
      </w:tr>
      <w:tr>
        <w:trPr/>
        <w:tc>
          <w:tcPr>
            <w:tcW w:w="9322"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175">
              <w:r>
                <w:rPr>
                  <w:rStyle w:val="InternetLink"/>
                  <w:rFonts w:ascii="Arial;sans-serif" w:hAnsi="Arial;sans-serif"/>
                  <w:b/>
                  <w:strike w:val="false"/>
                  <w:dstrike w:val="false"/>
                  <w:color w:val="000000"/>
                  <w:sz w:val="18"/>
                  <w:u w:val="none"/>
                  <w:effect w:val="none"/>
                </w:rPr>
                <w:t>Item 9A. Controls and Procedures</w:t>
              </w:r>
            </w:hyperlink>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175">
              <w:r>
                <w:rPr>
                  <w:rStyle w:val="InternetLink"/>
                  <w:rFonts w:ascii="Arial;sans-serif" w:hAnsi="Arial;sans-serif"/>
                  <w:b/>
                  <w:strike w:val="false"/>
                  <w:dstrike w:val="false"/>
                  <w:color w:val="000000"/>
                  <w:sz w:val="18"/>
                  <w:u w:val="none"/>
                  <w:effect w:val="none"/>
                </w:rPr>
                <w:t>68</w:t>
              </w:r>
            </w:hyperlink>
          </w:p>
        </w:tc>
      </w:tr>
      <w:tr>
        <w:trPr/>
        <w:tc>
          <w:tcPr>
            <w:tcW w:w="9322"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283">
              <w:r>
                <w:rPr>
                  <w:rStyle w:val="InternetLink"/>
                  <w:rFonts w:ascii="Arial;sans-serif" w:hAnsi="Arial;sans-serif"/>
                  <w:b/>
                  <w:strike w:val="false"/>
                  <w:dstrike w:val="false"/>
                  <w:color w:val="000000"/>
                  <w:sz w:val="18"/>
                  <w:u w:val="none"/>
                  <w:effect w:val="none"/>
                </w:rPr>
                <w:t>Item 9B. Other Information</w:t>
              </w:r>
            </w:hyperlink>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283">
              <w:r>
                <w:rPr>
                  <w:rStyle w:val="InternetLink"/>
                  <w:rFonts w:ascii="Arial;sans-serif" w:hAnsi="Arial;sans-serif"/>
                  <w:b/>
                  <w:strike w:val="false"/>
                  <w:dstrike w:val="false"/>
                  <w:color w:val="000000"/>
                  <w:sz w:val="18"/>
                  <w:u w:val="none"/>
                  <w:effect w:val="none"/>
                </w:rPr>
                <w:t>72</w:t>
              </w:r>
            </w:hyperlink>
          </w:p>
        </w:tc>
      </w:tr>
      <w:tr>
        <w:trPr/>
        <w:tc>
          <w:tcPr>
            <w:tcW w:w="9322"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286">
              <w:r>
                <w:rPr>
                  <w:rStyle w:val="InternetLink"/>
                  <w:rFonts w:ascii="Arial;sans-serif" w:hAnsi="Arial;sans-serif"/>
                  <w:b/>
                  <w:strike w:val="false"/>
                  <w:dstrike w:val="false"/>
                  <w:color w:val="000000"/>
                  <w:sz w:val="18"/>
                  <w:u w:val="none"/>
                  <w:effect w:val="none"/>
                </w:rPr>
                <w:t>Item 9C. D</w:t>
              </w:r>
            </w:hyperlink>
            <w:r>
              <w:rPr>
                <w:rFonts w:ascii="Arial;sans-serif" w:hAnsi="Arial;sans-serif"/>
                <w:b/>
                <w:color w:val="000000"/>
                <w:sz w:val="18"/>
              </w:rPr>
              <w:t>isclosure Regarding Foreign Jurisdictions that Prevent Inspections</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286">
              <w:r>
                <w:rPr>
                  <w:rStyle w:val="InternetLink"/>
                  <w:rFonts w:ascii="Arial;sans-serif" w:hAnsi="Arial;sans-serif"/>
                  <w:b/>
                  <w:strike w:val="false"/>
                  <w:dstrike w:val="false"/>
                  <w:color w:val="000000"/>
                  <w:sz w:val="18"/>
                  <w:u w:val="none"/>
                  <w:effect w:val="none"/>
                </w:rPr>
                <w:t>72</w:t>
              </w:r>
            </w:hyperlink>
          </w:p>
        </w:tc>
      </w:tr>
      <w:tr>
        <w:trPr/>
        <w:tc>
          <w:tcPr>
            <w:tcW w:w="9322"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289">
              <w:r>
                <w:rPr>
                  <w:rStyle w:val="InternetLink"/>
                  <w:rFonts w:ascii="Arial;sans-serif" w:hAnsi="Arial;sans-serif"/>
                  <w:b/>
                  <w:strike w:val="false"/>
                  <w:dstrike w:val="false"/>
                  <w:color w:val="000000"/>
                  <w:sz w:val="18"/>
                  <w:u w:val="none"/>
                  <w:effect w:val="none"/>
                </w:rPr>
                <w:t>PART III</w:t>
              </w:r>
            </w:hyperlink>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2"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Item 10. Directors, Executive Officers and Corporate Governance</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292">
              <w:r>
                <w:rPr>
                  <w:rStyle w:val="InternetLink"/>
                  <w:rFonts w:ascii="Arial;sans-serif" w:hAnsi="Arial;sans-serif"/>
                  <w:b/>
                  <w:strike w:val="false"/>
                  <w:dstrike w:val="false"/>
                  <w:color w:val="000000"/>
                  <w:sz w:val="18"/>
                  <w:u w:val="none"/>
                  <w:effect w:val="none"/>
                </w:rPr>
                <w:t>73</w:t>
              </w:r>
            </w:hyperlink>
          </w:p>
        </w:tc>
      </w:tr>
      <w:tr>
        <w:trPr/>
        <w:tc>
          <w:tcPr>
            <w:tcW w:w="9322"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Item 11. Executive Compensation</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295">
              <w:r>
                <w:rPr>
                  <w:rStyle w:val="InternetLink"/>
                  <w:rFonts w:ascii="Arial;sans-serif" w:hAnsi="Arial;sans-serif"/>
                  <w:b/>
                  <w:strike w:val="false"/>
                  <w:dstrike w:val="false"/>
                  <w:color w:val="000000"/>
                  <w:sz w:val="18"/>
                  <w:u w:val="none"/>
                  <w:effect w:val="none"/>
                </w:rPr>
                <w:t>73</w:t>
              </w:r>
            </w:hyperlink>
          </w:p>
        </w:tc>
      </w:tr>
      <w:tr>
        <w:trPr/>
        <w:tc>
          <w:tcPr>
            <w:tcW w:w="9322"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Item 12. Security Ownership of Certain Beneficial Owners and Management and Related Matters</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298">
              <w:r>
                <w:rPr>
                  <w:rStyle w:val="InternetLink"/>
                  <w:rFonts w:ascii="Arial;sans-serif" w:hAnsi="Arial;sans-serif"/>
                  <w:b/>
                  <w:strike w:val="false"/>
                  <w:dstrike w:val="false"/>
                  <w:color w:val="000000"/>
                  <w:sz w:val="18"/>
                  <w:u w:val="none"/>
                  <w:effect w:val="none"/>
                </w:rPr>
                <w:t>73</w:t>
              </w:r>
            </w:hyperlink>
          </w:p>
        </w:tc>
      </w:tr>
      <w:tr>
        <w:trPr/>
        <w:tc>
          <w:tcPr>
            <w:tcW w:w="9322"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Item 13. Certain Relationships and Related Transactions, and Director Independence</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301">
              <w:r>
                <w:rPr>
                  <w:rStyle w:val="InternetLink"/>
                  <w:rFonts w:ascii="Arial;sans-serif" w:hAnsi="Arial;sans-serif"/>
                  <w:b/>
                  <w:strike w:val="false"/>
                  <w:dstrike w:val="false"/>
                  <w:color w:val="000000"/>
                  <w:sz w:val="18"/>
                  <w:u w:val="none"/>
                  <w:effect w:val="none"/>
                </w:rPr>
                <w:t>73</w:t>
              </w:r>
            </w:hyperlink>
          </w:p>
        </w:tc>
      </w:tr>
      <w:tr>
        <w:trPr/>
        <w:tc>
          <w:tcPr>
            <w:tcW w:w="9322"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Item 14. Principal Accounting Fees and Services</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304">
              <w:r>
                <w:rPr>
                  <w:rStyle w:val="InternetLink"/>
                  <w:rFonts w:ascii="Arial;sans-serif" w:hAnsi="Arial;sans-serif"/>
                  <w:b/>
                  <w:strike w:val="false"/>
                  <w:dstrike w:val="false"/>
                  <w:color w:val="000000"/>
                  <w:sz w:val="18"/>
                  <w:u w:val="none"/>
                  <w:effect w:val="none"/>
                </w:rPr>
                <w:t>73</w:t>
              </w:r>
            </w:hyperlink>
          </w:p>
        </w:tc>
      </w:tr>
      <w:tr>
        <w:trPr/>
        <w:tc>
          <w:tcPr>
            <w:tcW w:w="9322"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178">
              <w:r>
                <w:rPr>
                  <w:rStyle w:val="InternetLink"/>
                  <w:rFonts w:ascii="Arial;sans-serif" w:hAnsi="Arial;sans-serif"/>
                  <w:b/>
                  <w:strike w:val="false"/>
                  <w:dstrike w:val="false"/>
                  <w:color w:val="000000"/>
                  <w:sz w:val="18"/>
                  <w:u w:val="none"/>
                  <w:effect w:val="none"/>
                </w:rPr>
                <w:t>PART IV</w:t>
              </w:r>
            </w:hyperlink>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2"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199">
              <w:r>
                <w:rPr>
                  <w:rStyle w:val="InternetLink"/>
                  <w:rFonts w:ascii="Arial;sans-serif" w:hAnsi="Arial;sans-serif"/>
                  <w:b/>
                  <w:strike w:val="false"/>
                  <w:dstrike w:val="false"/>
                  <w:color w:val="000000"/>
                  <w:sz w:val="18"/>
                  <w:u w:val="none"/>
                  <w:effect w:val="none"/>
                </w:rPr>
                <w:t>Item 15. Exhibits and Financial Statement Schedules</w:t>
              </w:r>
            </w:hyperlink>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310">
              <w:r>
                <w:rPr>
                  <w:rStyle w:val="InternetLink"/>
                  <w:rFonts w:ascii="Arial;sans-serif" w:hAnsi="Arial;sans-serif"/>
                  <w:b/>
                  <w:strike w:val="false"/>
                  <w:dstrike w:val="false"/>
                  <w:color w:val="000000"/>
                  <w:sz w:val="18"/>
                  <w:u w:val="none"/>
                  <w:effect w:val="none"/>
                </w:rPr>
                <w:t>73</w:t>
              </w:r>
            </w:hyperlink>
          </w:p>
        </w:tc>
      </w:tr>
      <w:tr>
        <w:trPr/>
        <w:tc>
          <w:tcPr>
            <w:tcW w:w="9322"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316">
              <w:r>
                <w:rPr>
                  <w:rStyle w:val="InternetLink"/>
                  <w:rFonts w:ascii="Arial;sans-serif" w:hAnsi="Arial;sans-serif"/>
                  <w:b/>
                  <w:strike w:val="false"/>
                  <w:dstrike w:val="false"/>
                  <w:color w:val="000000"/>
                  <w:sz w:val="18"/>
                  <w:u w:val="none"/>
                  <w:effect w:val="none"/>
                </w:rPr>
                <w:t>Item 16. Form 10-K Summary</w:t>
              </w:r>
            </w:hyperlink>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316">
              <w:r>
                <w:rPr>
                  <w:rStyle w:val="InternetLink"/>
                  <w:rFonts w:ascii="Arial;sans-serif" w:hAnsi="Arial;sans-serif"/>
                  <w:b/>
                  <w:strike w:val="false"/>
                  <w:dstrike w:val="false"/>
                  <w:color w:val="000000"/>
                  <w:sz w:val="18"/>
                  <w:u w:val="none"/>
                  <w:effect w:val="none"/>
                </w:rPr>
                <w:t>76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3"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Arial;sans-serif" w:hAnsi="Arial;sans-serif"/>
          <w:b/>
          <w:color w:val="000000"/>
          <w:sz w:val="18"/>
        </w:rPr>
      </w:pPr>
      <w:r>
        <w:rPr>
          <w:rFonts w:ascii="Arial;sans-serif" w:hAnsi="Arial;sans-serif"/>
          <w:b/>
          <w:color w:val="000000"/>
          <w:sz w:val="18"/>
        </w:rPr>
        <w:t>CAUTIONARY NOTE REGARDING FORWARD-LOOKING STATEMENTS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This Annual Report on Form 10-K for HF Foods Group Inc. (“HF Foods”, the “Company,” “we,” “us,” or “our”) contains forward-looking statements. Forward-looking statements include statements about our expectations, beliefs, plans, objectives, intentions, assumptions and other statements that are not historical facts. Words or phrases such as “anticipate,” “believe,” “continue,” “could,” “estimate,” “expect,” “intend,” “may,” “might,” “plan,” “potential,” “predict,” “project,” “will” or similar words or phrases, or the negatives of those words or phrases, may identify forward-looking statements, but the absence of these words does not necessarily mean that a statement is not forward-looking. 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All forward-looking statements are subject to risks and uncertainties that may cause actual results to differ materially from those that we expected. Factors that could cause or contribute to such differences include those discussed in this Annual Report on Form 10-K, and in particular, the risks discussed under the caption “Risk Factors” in Item 1A and those discussed in other documents we file with the Securities and Exchange Commission (the “SEC”). 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Annual Report on Form 10-K are made only as of the date hereof. Except as otherwise required by law, we undertake no obligation to update or revise any forward-looking statement as a result of new information, future events or otherwise.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4"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1.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Overview</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HF Foods Group Inc., headquartered in Las Vegas, Nevada, operating through our subsidiaries (collectively “HF Foods” or the “Company”) is a leading marketer and distributor of fresh produce, frozen and dry food, and non-food products to Asian restaurants and other foodservice customers throughout the United States.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operate a national distribution platform comprised of sixteen distribution centers and four cross-docks, supported by a fleet of over 400 vehicles, which collectively spans 46 states and covers approximately 95% of the contiguous United States. We serve approximately 15,000 customer locations through a high-frequency, service-oriented distribution model designed to meet the operational needs of independent restaurants, including timely delivery and consistent product availability.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believe we are differentiated by our deep cultural and language understanding of the Asian restaurant community, long-standing relationships with growers and suppliers, and specialized sourcing capabilities across North America, South America, and Asia. These strengths are reinforced by nearly 1,000 employees and a centralized outsourced call center in China, which supports order taking and customer service in customers’ primary language and enables coordinated marketing and promotional campaigns.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product portfolio is supported by long-term partnerships with both domestic and international suppliers, which we believe enhances our ability to provide a broad and differentiated assortment at competitive prices. Our supplier relationships and market knowledge strengthen our purchasing and negotiating position and support continuity of supply, including improving our ability to manage potential supply chain disruptions, reduce stockouts, obtain pricing concessions, and maintain reliable delivery schedules. While Asian restaurants remain our core customer base, we intend to selectively broaden our customer reach into other ethnic and specialty foodservice segments over time as we execute our long-term growth strategy.</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Corporate History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HF Foods was originally incorporated in the State of Delaware on May 19, 2016 as a special purpose acquisition company under the name Atlantic Acquisition Corp. (“Atlantic”), in order to acquire, through a merger, share exchange, asset acquisition, share purchase, recapitalization, reorganization or similar business combination with, one or more businesses or entities.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On August 22, 2018, Atlantic consummated a reverse acquisition transaction resulting in the shareholders of HF Group Holding Corporation (“HF Holding”) becoming the majority shareholders of Atlantic, and changed its name to HF Foods Group Inc. On November 4, 2019, we consummated a merger transaction, resulting in B&amp;R Global becoming a wholly-owned subsidiary of HF Foods.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On January 17, 2020, we acquired 100% equity membership interest in nine subsidiaries under B&amp;R Group Realty Holding, LLC (“BRGR”), which owned warehouse facilities that were being leased to B&amp;R Global for its operations in California, Arizona, Utah, Colorado, Washington, and Montana.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On December 30, 2021, HF Foods acquired substantially all of the assets of leading seafood suppliers Great Wall Seafood Supply, Inc., a Texas corporation, Great Wall Restaurant Supplier, Inc., an Ohio corporation, and First Mart Inc., an Illinois corporation (collectively the “Great Wall Group”).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April 29, 2022, HF Foods acquired substantially all of the assets of Sealand Food, Inc., one of the largest frozen seafood suppliers servicing customers along the eastern seaboard, from Massachusetts to Florida, as well as Pennsylvania, West Virginia, Ohio, Kentucky, and Tennessee.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Our Business and Products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business operates a national distribution platform consisting of sixteen distribution centers and four cross-docks, encompassing approximately 1.4 million square feet of warehouse space and supported by a fleet of over 400 vehicles. We distribute a broad assortment of food and non-food products, with a strong focus on specialty ingredients essential for Asian cuisine. Supported by an extensive supplier network, we seek to provide customers with a one-stop purchasing solution with reliable delivery, high order fulfillment rates, and competitive pricing.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We offer over 2,000 products, which include a broad range of items required to operate a restaurant. Our product offerings include meat and poultry, fresh produce, frozen seafood, general commodities, and packaging and other non-food products. The majority of our procurement consists of goods purchased domestically, including meat, poultry, produce, and certain key commodities. We also source a significant amount of product through imports, including frozen seafood, Asian specialty items, packaging, and other commodities.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sets forth our product categories and sales percentage by category for the year ended December 31,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27"/>
        <w:gridCol w:w="379"/>
        <w:gridCol w:w="382"/>
        <w:gridCol w:w="109"/>
        <w:gridCol w:w="109"/>
        <w:gridCol w:w="109"/>
        <w:gridCol w:w="2391"/>
        <w:gridCol w:w="2360"/>
        <w:gridCol w:w="2367"/>
        <w:gridCol w:w="109"/>
        <w:gridCol w:w="109"/>
        <w:gridCol w:w="109"/>
        <w:gridCol w:w="334"/>
        <w:gridCol w:w="334"/>
        <w:gridCol w:w="477"/>
      </w:tblGrid>
      <w:tr>
        <w:trPr/>
        <w:tc>
          <w:tcPr>
            <w:tcW w:w="52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12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Percentage</w:t>
            </w:r>
          </w:p>
        </w:tc>
      </w:tr>
      <w:tr>
        <w:trPr/>
        <w:tc>
          <w:tcPr>
            <w:tcW w:w="12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Seafood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Lobster, shrimp, crab, scallops and fish, such as tuna and Alaskan salmon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36%</w:t>
            </w:r>
          </w:p>
        </w:tc>
      </w:tr>
      <w:tr>
        <w:trPr/>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Meat and Poultry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Beef, pork, chicken and duck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22%</w:t>
            </w:r>
          </w:p>
        </w:tc>
      </w:tr>
      <w:tr>
        <w:trPr/>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Asian Specialty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Products with an Asian flair or flavor, including specialty noodles, rice, dry goods (such as dried mushrooms or dried beans), specialty sauces/seasonings, spring rolls, and canned products (such as preserved vegetables, bamboo shoots and water chestnuts)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18%</w:t>
            </w:r>
          </w:p>
        </w:tc>
      </w:tr>
      <w:tr>
        <w:trPr/>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Commodity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General commodities including oil, flour, salt and sugar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w:t>
            </w:r>
          </w:p>
        </w:tc>
      </w:tr>
      <w:tr>
        <w:trPr/>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Fresh Produce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Fresh, seasonal fruits and vegetables, such as celery, napa cabbage and winter melon which are widely used in Asian cuisines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9%</w:t>
            </w:r>
          </w:p>
        </w:tc>
      </w:tr>
      <w:tr>
        <w:trPr/>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Packaging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Take-out accessories, including bamboo chopsticks, takeout containers, plastic cups and sushi combo boxes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supplier network and long-standing relationships with key suppliers strengthen our purchasing capabilities and negotiating position, enabling us to procure product efficiently and support consistent product availability. We utilize a centralized inventory system to help manage replenishment, optimize inventory levels, and support efficient operations. We believe these capabilities allow customers to consolidate purchasing that might otherwise be sourced from multiple vendors.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operations support the full order-to-delivery process through warehouse execution, fleet management, material handling equipment and processes, and experienced administrative and operating personnel. In addition, we maintain a centralized outsourced call center that supports customers during non-office hours in the United States for order-taking, customer relationship management, and after-sales service. Centralizing this function enhances quality assurance and training consistency and provides greater control over coordinated marketing and promotional campaigns, while further strengthening customer service.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We provide localized, high-frequency delivery that supports customers’ operating needs, including reduced on-hand inventory and improved freshness for perishable products. Our temperature-controlled fleet services both short- and medium-distance routes on a daily basis to support reliable delivery and high fulfillment levels.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Our Strategy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believe we are differentiated from large, mainstream foodservice distributors, such as Sysco Corporation, US Foods Holding Corp. and Performance Food Group Company, by our deep understanding of Asian culture and cooking essentials, a differentiated product portfolio, and specialized sourcing and distribution capabilities tailored to the needs of independent restaurants. We offer a broad range of products commonly used in Asian cuisines, including many items that are not widely carried by mainstream distributors.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While Asian restaurants remain our core customer base, we believe many of our competitive strengths—our service model, specialty sourcing, logistics capabilities, and localized delivery density—are also applicable to other ethnic and specialty foodservice segments. Accordingly, we intend to selectively broaden our strategic focus over time to pursue adjacent cuisines and customer segments where our platform can deliver compelling value. We also seek to position the Company as a specialty foodservice distributor with capabilities that extend beyond any single category as we execute our long-term growth strategy through a combination of organic initiatives and acquisitions.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believe our scale and knowledge of customer preferences and operating needs provide competitive advantages,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Differentiated product assortment: We offer a broad range of Asian specialty products that are not commonly provided by large distributors serving the mainstream market.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Cultural and language capabilities: Because many of our customers are immigrant-owned restaurants, a significant portion of our workforce can communicate with customers in their primary language, which we believe strengthens relationships, service quality and retention.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Service and cost structure: We utilize a centralized outsourced call center in China to support telephone-based sales and customer service during non-office hours in the United States, which supports responsiveness and efficient coverage.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Purchasing and sourcing capabilities: We leverage economies of scale and long-standing relationships with both domestic and foreign suppliers to support consistent product availability and competitive pricing.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Distribution network and delivery density: Our distribution centers and cross-docks are strategically located and supported by a fleet of delivery vehicles. Many delivery routes are limited to approximately three to five hours of driving time, which supports delivery timeliness and high fulfillment levels.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Technology-enabled operations: Our customized systems support inventory management, customer service, and operational efficiency.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Customer-specific marketing and engagement: Our cultural and bilingual capabilities support targeted communication and promotional activity tailored to customer preferences.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seek to expand in new and existing markets through a combination of organic initiatives and acquisitions, including opportunities to strengthen our market position, enhance our distribution footprint, and broaden our product capabilities. We also evaluate potential vertical expansion opportunities in connection with acquisitions, including value-added offerings such as semi-prepared food products, where we believe such offerings can support customer needs and improve service. We continue to invest in technology and operating systems to improve efficiency, accuracy, and customer satisfaction and to support our long-term growth objectives.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u w:val="single"/>
        </w:rPr>
      </w:pPr>
      <w:r>
        <w:rPr>
          <w:rFonts w:ascii="Arial;sans-serif" w:hAnsi="Arial;sans-serif"/>
          <w:b w:val="false"/>
          <w:color w:val="000000"/>
          <w:sz w:val="18"/>
          <w:u w:val="single"/>
        </w:rPr>
        <w:t>Features of Asian Restaurants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Set forth below are the principal characteristics of the Asian restaurants we serve.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i/>
          <w:color w:val="000000"/>
          <w:sz w:val="18"/>
        </w:rPr>
        <w:t>Primarily Serving Mainstream Americans</w:t>
      </w:r>
      <w:r>
        <w:rPr>
          <w:rFonts w:ascii="Arial;sans-serif" w:hAnsi="Arial;sans-serif"/>
          <w:b w:val="false"/>
          <w:color w:val="000000"/>
          <w:sz w:val="18"/>
        </w:rPr>
        <w:t>. There are tens of thousands of Asian restaurants spread throughout the U.S., primarily serving American customers. Although the dishes they serve are more simply and quickly prepared as compared to traditional full-service Asian restaurant cuisine, they still require specialized and distinctive Asian specialty ingredients used in traditional Asian cooking styles.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i/>
          <w:color w:val="000000"/>
          <w:sz w:val="18"/>
        </w:rPr>
        <w:t>Operated by Individual Families</w:t>
      </w:r>
      <w:r>
        <w:rPr>
          <w:rFonts w:ascii="Arial;sans-serif" w:hAnsi="Arial;sans-serif"/>
          <w:b w:val="false"/>
          <w:color w:val="000000"/>
          <w:sz w:val="18"/>
        </w:rPr>
        <w:t>. Most restaurants serviced by HF Foods are generally family-owned with very few workers, who are often immigrants or first generation Americans. These small restaurant owners, especially the founders, appreciate value-added services from suppliers to help them improve their operational efficiency. The owners and workers in these Asian restaurants usually prefer to speak their primary language. We believe that understanding their culture and language is paramount to facilitating efficient communications and building trust with customers.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i/>
          <w:color w:val="000000"/>
          <w:sz w:val="18"/>
        </w:rPr>
        <w:t>Unique Cooking Style and Ingredients for Asian Cuisines</w:t>
      </w:r>
      <w:r>
        <w:rPr>
          <w:rFonts w:ascii="Arial;sans-serif" w:hAnsi="Arial;sans-serif"/>
          <w:b w:val="false"/>
          <w:color w:val="000000"/>
          <w:sz w:val="18"/>
        </w:rPr>
        <w:t>. Asian cuisine requires unique cooking techniques such as steaming and stir-frying in a wok, and requires specialty ingredients and vegetables such as bitter melons, Asian yams, vine spinach, napa cabbage and winter melon. It also requires special seasonings and spices, including peanut oil, cooking wine, vinegar, dark soy sauce, black bean sauce, pepper oil and chili oil. Most of the unique ingredients for Asian cuisine are staple supplies of HF Foods that are not widely available from mainstream U.S. suppliers.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u w:val="single"/>
        </w:rPr>
      </w:pPr>
      <w:r>
        <w:rPr>
          <w:rFonts w:ascii="Arial;sans-serif" w:hAnsi="Arial;sans-serif"/>
          <w:b w:val="false"/>
          <w:color w:val="000000"/>
          <w:sz w:val="18"/>
          <w:u w:val="single"/>
        </w:rPr>
        <w:t>Current Industry Landscape and Opportunities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i/>
          <w:color w:val="000000"/>
          <w:sz w:val="18"/>
        </w:rPr>
        <w:t>Growing Demand in Asian Cuisines</w:t>
      </w:r>
      <w:r>
        <w:rPr>
          <w:rFonts w:ascii="Arial;sans-serif" w:hAnsi="Arial;sans-serif"/>
          <w:b w:val="false"/>
          <w:color w:val="000000"/>
          <w:sz w:val="18"/>
        </w:rPr>
        <w:t xml:space="preserve">. The demand for Asian cuisines continues to grow in the U.S. In addition, according to the Pew Research Center, the Asian population in the U.S. is the fastest growing population group in the country. We believe that these powerful trends will continue and result in expanded opportunities for Asian restaurants. As a leading foodservice distributor to Asian restaurants in the U.S., these trends represent a significant growth opportunity for HF Foods.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i/>
          <w:color w:val="000000"/>
          <w:sz w:val="18"/>
        </w:rPr>
        <w:t>Cultural Barriers to Entry</w:t>
      </w:r>
      <w:r>
        <w:rPr>
          <w:rFonts w:ascii="Arial;sans-serif" w:hAnsi="Arial;sans-serif"/>
          <w:b w:val="false"/>
          <w:color w:val="000000"/>
          <w:sz w:val="18"/>
        </w:rPr>
        <w:t>. Understanding Asian cooking culture is important to running an Asian restaurant, and, therefore, most Asian restaurants are operated by Asian Americans. We believe that it is very difficult for mainstream food distributors to serve these restaurants due to various cultural and language barriers.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i/>
          <w:color w:val="000000"/>
          <w:sz w:val="18"/>
        </w:rPr>
        <w:t>Highly Fragmented Market</w:t>
      </w:r>
      <w:r>
        <w:rPr>
          <w:rFonts w:ascii="Arial;sans-serif" w:hAnsi="Arial;sans-serif"/>
          <w:b w:val="false"/>
          <w:color w:val="000000"/>
          <w:sz w:val="18"/>
        </w:rPr>
        <w:t>. The Asian foodservice market is currently highly fragmented with many small and unsophisticated direct store distributors, such as small-scale wholesaler redistributors, specialty import brokers, farmers markets, and local produce retailers, operating without significant financial support or a sophisticated logistics infrastructure. We are a leading Asian food distributor in the U.S. with a well-developed logistics infrastructure, strong financial means, and experienced management team that provides the marketplace with an avenue for consolidated purchasing, high fill rate, and efficient delivery frequency at a competitive price. The fragmented nature of the Asian foodservice market creates acquisition opportunities for us to continue to expand our geographic footprint and customer base.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i/>
          <w:color w:val="000000"/>
          <w:sz w:val="18"/>
        </w:rPr>
        <w:t>Competitive Advantages over New Entrants</w:t>
      </w:r>
      <w:r>
        <w:rPr>
          <w:rFonts w:ascii="Arial;sans-serif" w:hAnsi="Arial;sans-serif"/>
          <w:b w:val="false"/>
          <w:color w:val="000000"/>
          <w:sz w:val="18"/>
        </w:rPr>
        <w:t>. Each distribution center requires a large amount of invested capital to support the full temperature-controlled logistics and warehouse operations to help customers grow their sales and profit. Consolidated purchasing allows us to pass on cost savings to our customers and provide competitive pricing. We believe our continued investment in technology will lead to long-term expense reduction and further administrative efficiency. These competitive advantages result in economies of scale which smaller and fragmented suppliers cannot match.</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Arial;sans-serif" w:hAnsi="Arial;sans-serif"/>
          <w:b w:val="false"/>
          <w:i/>
          <w:color w:val="000000"/>
          <w:sz w:val="18"/>
        </w:rPr>
        <w:t>Demand for Value-Added Services</w:t>
      </w:r>
      <w:r>
        <w:rPr>
          <w:rFonts w:ascii="Arial;sans-serif" w:hAnsi="Arial;sans-serif"/>
          <w:b w:val="false"/>
          <w:color w:val="000000"/>
          <w:sz w:val="18"/>
        </w:rPr>
        <w:t>. Our customers are primarily Asian restaurants, and other foodservice customers. These customers are price and quality sensitive with a high demand for great service and mutual trust. Our employees speak their language, understand their culture and build a bond with our customers. Our 24-hour after sale service call center, located domestically and in China, allows us to serve as a supportive and dependable business partner. Through vendor partnerships, we help our large customers source distinct products from their choice of vendors, either domestically or internationally. These are the value added services that we are able to provide to our customers in our one-stop shopping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i/>
          <w:color w:val="000000"/>
          <w:sz w:val="18"/>
        </w:rPr>
        <w:t>Continued Consumer Spending on Food Away From Home</w:t>
      </w:r>
      <w:r>
        <w:rPr>
          <w:rFonts w:ascii="Arial;sans-serif" w:hAnsi="Arial;sans-serif"/>
          <w:b w:val="false"/>
          <w:color w:val="000000"/>
          <w:sz w:val="18"/>
        </w:rPr>
        <w:t>. Restaurant spending has remained resilient as consumer routines have normalized post-pandemic, with consumers continually favoring dining out as part of their routine food consumption. This trend reflects a broader preference for the convenience, experience, and variety offered by restaurants including those specializing in Asian cuisines. As consumers maintain strong engagement with restaurant dining, we expect demand for Asian and other foodservice operators to remain robust, supporting ongoing growth opportunities for our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Customer Service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provide comprehensive support to existing and prospective customers through a two-pronged approach: a centralized outsourced call center in Fuzhou, China and our domestic sales team in the United States. The call center supports customers in their primary language and provides order-taking, customer relationship management, and after-sales service, while our domestic sales team maintains close in-market relationships through regular on-site visits to customers’ restaurants.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Together, these teams support the full sales cycle—from initial order through post-sales service—and help strengthen customer rapport and retention. We believe our cultural understanding and language capabilities enable us to better anticipate customer preferences and operating needs compared to mainstream foodservice distributors. We also leverage our customized information system to share timely and relevant information with customers to help them grow their business, including purchasing history, order tracking, item availability, promotional items, and best-selling or trending products.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develop and execute strategies and action plans designed to align sales and marketing efforts across channels. Our domestic sales team works closely with sales staff in China to help ensure consistent execution and swift follow-through. In addition, our distribution centers are empowered to meet local and regional customer needs by tailoring their product portfolios.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We also emphasize customer care and satisfaction through a refund policy without penalty. Our 100% satisfaction guarantee permits customers to reject part of an order or an entire order within 24 hours of receipt without penalty, which we believe further strengthens customer trust and loyalty.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Suppliers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manage procurement through a centralized purchasing process designed to improve purchasing efficiency, support consistent product availability, and enhance supplier relationships. Our distribution centers submit inventory replenishment requests through our information systems to designated buyers, who consolidate demand across locations and source products in a cost-effective manner. We believe this approach enables us to leverage purchasing scale and maintain vendor relationships under a consistent brand.</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maintain a broad supplier network that includes domestic and international suppliers. We source from a defined vendor pool to support product quality, availability, and competitive pricing. Our procurement team manages relationships directly with major vendors for high-volume and frequently purchased items. For smaller-volume purchases and certain specialty items, we also utilize brokers, which can provide access to additional suppliers and purchasing scale.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procurement team monitors market conditions for seasonal and other price-sensitive products, including fresh produce, and adjusts purchasing decisions based on availability, pricing, and customer demand. Where appropriate, we employ multi-sourcing strategies for comparable products to reduce supply risk and support competitive pricing.</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Inventory levels are reviewed daily at each distribution center through our information systems, and purchase requests are submitted to procurement teams at headquarters and regional offices as needed. Procurement personnel may adjust purchasing decisions based on inventory data, forecasted demand, and supplier lead times. Delivery schedules are coordinated based on the needs of each location and product category. Lead times vary by product type and sourcing channel. For perishable goods, suppliers typically deliver products within 72 hours of order placement. Certain products sourced through import brokers may have lead times of up to seven days.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None of our suppliers accounted for more than 10% of our aggregate purchases during the years ended December 31, 2025 and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Trademarks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We rely on trademarks, service marks, trade names, logos, trade dress, domain names, and related brand assets to market and distinguish our products and services. Our principal U.S. trademarks include, among others, HF FOODS™, HF FOODS Stylized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(B&amp;W)™, HF FOODS Stylized (Color)™, HF Design (B&amp;W)®, HF Design (Color)®, FENG WEI™, FENG WEI &amp; Design™, FĒNG ZHĪ WÈI (in Chinese Characters)™, FENGWEI™, HAI XI (In Chinese Characters)™, HAI XI SHIPIN PIFA GONGSI (In Chinese Characters)™, OCEAN WEST™, Great Wall Design®, Great Wall Seafood™, RONG GREEN LEAF &amp; Design®, RONG &amp; Design®, &lt;333&gt; (Stylized)®, SEA888 &amp; Design®, the Han Feng trade name, the Rong Cheng trade name. We own United States registrations for certain of these marks and have additional applications pending with the U.S. Patent and Trademark Office. We also claim common law rights in other marks and trade names used in U.S. commerce for which we have not sought registration. Common law rights arise from use, can be significant, and are generally limited to the geographic areas and channels of trade in which the marks are used.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HF Design (Color)® and HF Design (B&amp;W)® United States registrations have been in place since 2019 and 2020, respectively. U.S. federal trademark registrations generally have an initial ten</w:t>
        <w:noBreakHyphen/>
        <w:t>year term and may be renewed for successive ten</w:t>
        <w:noBreakHyphen/>
        <w:t>year periods, subject to continued use and required maintenance filings; accordingly, trademark protection in the United States can be of potentially indefinite duration. Our U.S. common law trademark rights likewise arise from use and can continue indefinitely so long as the marks remain in use and maintain their distinctiveness.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consider our trademarks to be material to our business and brand reputation. We maintain trademark protection through a combination of federal registrations, common law rights, enforcement practices, and renewal and maintenance filings. We also register and maintain internet domain names incorporating or associated with our brands.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Although our trademarks are important to our business, our overall operations are not dependent on any single trademark, and we believe we have adequate rights to use our material marks in the United States for our current offerings. However, the value of our trademarks could be diminished if we are unable to maintain or enforce them, if third parties adopt confusingly similar marks, or if our marks become generic or otherwise weakened.</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Human Capital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One of our primary strategic priorities is to continue to enhance the strength of our workforce by retaining, developing, attracting, and recruiting highly qualified and top-performing talent. This effort includes establishing an optimized organizational structure and prioritizing the development of our employees’ capabilities through targeted training and professional development initiatives.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attribute a significant portion of our success to the dedication and loyalty of our workforce. Notably, all general managers and distribution-level management personnel have been with the company since its inception. Their comprehensive understanding of our business operations, coupled with the strong relationships they maintain with frontline employees, has contributed to our ability to operate as a union-free organization.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December 31, 2025, we had 949 full-time employees, 6 part-time employees and 33 temporary employees through staffing agencies. We offer attractive compensation and benefit packages, and we believe our relationship with our employees is satisfactory.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Recruiting, Training and Development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ability to continue to retain, attract, and recruit top talent at all levels is key to our future success. We continue to transform our operations through new system and process improvements, automation equipment and technology, training and development.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Inclusion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HF Foods was founded by Asian Americans, and throughout our history, we have continued to maintain inclusion as one of our top priorities by providing opportunities to all employees regardless of background. Three out of four members of our Board of Directors are Asian or Hispanic. At the corporate level, over 50% of our director and above positions are held by women.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Recent Developments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CFO Transition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October 15, 2025 (the “Separation Date”), Cindy Yao, departed from the Company as its Chief Financial Officer. In connection with Ms. Yao’s departure, the Company entered into a Separation Agreement (the “Separation Agreement”) with Ms. Yao effective November 6,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Effective October 15, 2025, Paul McGarry, who previously served as the Company’s Vice President and Corporate Controller was appointed Interim Chief Financial Officer. Effective January 27, 2026, the Board of Directors appointed Mr. McGarry to serve as the Company’s Chief Financial Officer.</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Opening of a State-of-the-Art Distribution Warehouse in Powder Springs, GA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December 18, 2025, the Company officially opened its newest 182,000 square foot distribution center located outside Atlanta, in Powder Springs, Georgia. This brand-new facility includes warehouse, freezer, cooler, and office space and provides significant opportunities for expanding our existing operations in Atlanta and the surrounding cities and states. The Company plans to incorporate automated material handling and warehouse management technologies at the facility to support operating efficiency. The new distribution center will continue to service over 1,000 customers from HF Food’s previous Atlanta location and is now open to deliver more business throughout Georgia, Alabama, Mississippi, and Tennessee. The distribution center is located at 4795 Innovative Highway, Powder Springs, GA 30127, and currently employs over 50 individuals with plans to expand operations throughout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Adoption of Amended and Restated Executive Severance Plan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January 27, 2026, the Board approved amendments to the Amended and Restated HF Foods Group Inc. Severance Plan (the “Amended Severance Plan”), effective January 27, 2026. The Amended Severance Plan amends, among other items, the definition of “Key Executive” to “Key Employees”, which expands the Amended Severance Plan’s applicability to a “select group of management or highly compensated employees” (within the meaning of Sections 201(a), 301(a)(3) and 401 (a)(1) of the Employee Retirement Income Security Act of 1974, as amended) of the Company who has been designated by the Committee (as defined in the Amended Severance Plan) as a Key Employee for purposes of this Amended Severance Plan. The Amended Severance Plan also extends the qualifying period for severance payments to certain executives and employees eligible to participate on a termination of employment without “cause” (as defined in the Amended Severance Plan) or by the individual for “good reason” (as defined in the Amended Severance Plan), with different severance payments depending on the title of the individual and whether or not the termination occurring during the period beginning six months before through 24 months after a “change in control” (as defined in the Amended Severance Plan).</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Government Regulation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Legal compliance is important to our operations. We are required to comply, and it is our policy to comply, with all applicable laws in the numerous jurisdictions in which we do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a marketer and distributor of food products in the U.S., we are subject to the Federal Food, Drug and Cosmetic Act and regulations promulgated thereunder by the U.S. Food and Drug Administration (the “FDA”). The FDA regulates food safety and quality through various statutory and regulatory mandates, including manufacturing and holding requirements for foods through good manufacturing practice regulations, hazard analysis and critical control point requirements for certain foods, and the food and color additive approval process. The agency also specifies the standards of identity for certain foods, prescribes the format and content of information required to appear on food product labels, regulates food contact packaging and materials, and maintains a Reportable Food Registry for the industry to report when there is a reasonable probability that an article of food will cause serious adverse health consequences. For certain product lines, we are also subject to the Federal Meat Inspection Act, the Poultry Products Inspection Act, the Perishable Agricultural Commodities Act, the Packers and Stockyard Act and regulations promulgated by the USDA to interpret and implement these statutory provisions. The USDA imposes standards for product safety, quality and sanitation through the federal meat and poultry inspection program. The USDA reviews and approves the labeling of these products and also establishes standards for the grading and commercial acceptance of produce shipments from our suppliers. We are also subject to the Public Health Security and Bioterrorism Preparedness and Response Act of 2002, which imposes certain registration and record keeping requirements on facilities that manufacture, process, pack or hold food for human or animal consumption.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recently published and pending rules under the Food Safety Modernization Act (“FSMA”) will significantly expand food safety requirements, including those of HF Foods. Among other things, FDA regulations implementing the FSMA require us to establish and maintain comprehensive, prevention-based controls across the food supply chain that are both verified and validated. The FSMA also imposes new requirements for food products imported into the U.S. and provides the FDA with mandatory recall authority.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HF Foods and our products are also subject to state and local regulation through such measures as the licensing of our facilities; enforcement by state and local health agencies of state and local standards for our products; and regulation of our trade practices in connection with the sale of our products. Our facilities are subject to regulations issued pursuant to the U.S. Occupational Safety and Health Act by the U.S. Department of Labor. These regulations require us to comply with certain manufacturing, health and safety standards to protect employees from accidents and to establish hazard communication programs to transmit information on the hazards of certain chemicals which may be present in products that we distribute.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Our distribution facilities must be registered with the FDA biennially and are subject to periodic government agency inspections by the FDA and USDA. Our facilities are generally inspected at least annually by federal and/or state authorities.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business and employment practices are also subject to regulation by numerous federal, state and local regulatory agencies, including, but not limited to, the U.S. Department of Labor, which sets employment practice standards for workers, and the U.S. Department of Transportation, as well as its agencies, the Surface Transportation Board, the Federal Highway Administration, the Federal Motor Carrier Safety Administration, and the National Highway Traffic Safety Administration, which collectively regulate our trucking business through the regulation of operations, safety, insurance and hazardous materials. We must comply with the safety and fitness regulations promulgated by the Federal Motor Carrier Safety Administration, including those relating to drug and alcohol testing and hours of service. Such matters as weight and dimension of equipment also fall under federal and state regulations. We also are subject to federal and state immigration laws, regulations and programs that regulate our ability to hire or retain foreign employees. In addition, we are subject to the U.S. False Claims Act, and similar state statutes, which prohibit the submission of claims for payment to the government that are false and the knowing retention of overpayments.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operations are also subject to a broad range of U.S. federal, state, and local environmental laws and regulations, as well as zoning and building regulations. Environmental laws and regulations cover a variety of procedures, including appropriately managing wastewater and stormwater; complying with clean air laws, including those governing vehicle emissions; proper handling and disposal of solid and hazardous wastes; protecting against and appropriately investigating and remediating spills and releases; and monitoring and maintaining underground and above ground storage tanks for diesel fuel and other petroleum products. For the year ended December 31, 2025, the costs of managing our compliance with environmental laws and regulations was nominal.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U.S. Foreign Corrupt Practices Act (“FCPA”) prohibits bribery of public officials to obtain or retain business in foreign jurisdictions. The FCPA also requires us to keep accurate books and records and to maintain internal accounting controls to detect and prevent bribery and to ensure that transactions are properly authorized. We have implemented appropriate policy and will continue to maintain a robust anti-corruption compliance program applicable to our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For the purchase of items produced, harvested or manufactured outside of the U.S., we are subject to applicable customs laws regarding the import and export of various products. Certain activities, including working with customs brokers and freight forwarders, are subject to applicable regulation by U.S. Customs and Border Protection, which is a part of the Department of Homeland Security. Additionally, the new U.S. administration has called for substantial changes to foreign trade policy. Significant new restrictions and tariffs on foreign trade could have a negative impact on our business and could increase the cost of sourcing products and certain equipment and other materials used in our operations that we procure from outside the U.S.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Information about our Executive Officers</w:t>
      </w:r>
    </w:p>
    <w:p>
      <w:pPr>
        <w:pStyle w:val="TextBody"/>
        <w:bidi w:val="0"/>
        <w:spacing w:before="0" w:after="0"/>
        <w:jc w:val="left"/>
        <w:rPr/>
      </w:pPr>
      <w:r>
        <w:rPr/>
      </w:r>
    </w:p>
    <w:tbl>
      <w:tblPr>
        <w:tblW w:w="5740" w:type="dxa"/>
        <w:jc w:val="left"/>
        <w:tblInd w:w="0" w:type="dxa"/>
        <w:tblLayout w:type="fixed"/>
        <w:tblCellMar>
          <w:top w:w="28" w:type="dxa"/>
          <w:left w:w="28" w:type="dxa"/>
          <w:bottom w:w="28" w:type="dxa"/>
          <w:right w:w="28" w:type="dxa"/>
        </w:tblCellMar>
      </w:tblPr>
      <w:tblGrid>
        <w:gridCol w:w="526"/>
        <w:gridCol w:w="463"/>
        <w:gridCol w:w="466"/>
        <w:gridCol w:w="109"/>
        <w:gridCol w:w="109"/>
        <w:gridCol w:w="109"/>
        <w:gridCol w:w="150"/>
        <w:gridCol w:w="150"/>
        <w:gridCol w:w="151"/>
        <w:gridCol w:w="109"/>
        <w:gridCol w:w="109"/>
        <w:gridCol w:w="109"/>
        <w:gridCol w:w="928"/>
        <w:gridCol w:w="928"/>
        <w:gridCol w:w="1324"/>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Position</w:t>
            </w:r>
          </w:p>
        </w:tc>
      </w:tr>
      <w:tr>
        <w:trPr/>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Xi Lin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and Chief Executive Officer</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Cindy Yao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Former Chief Financial Officer</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Paul McGarry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Christine Chang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Administrative Officer</w:t>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18"/>
        </w:rPr>
        <w:t>Xi Lin (aka Felix Lin)</w:t>
      </w:r>
      <w:r>
        <w:rPr>
          <w:color w:val="000000"/>
        </w:rPr>
        <w:t xml:space="preserve"> </w:t>
      </w:r>
      <w:r>
        <w:rPr>
          <w:rFonts w:ascii="Arial;sans-serif" w:hAnsi="Arial;sans-serif"/>
          <w:b w:val="false"/>
          <w:color w:val="000000"/>
          <w:sz w:val="18"/>
        </w:rPr>
        <w:t xml:space="preserve">was appointed to serve as Chief Executive Officer, effective January 1, 2025, and has served as President since February 12, 2024. Mr. Lin previously served as Chief Operating Officer of the Company from May 1, 2022 to January 1, 2025. Mr. Lin also previously served as an independent director of HF Foods from November 2019 to April 2022. Mr. Lin worked in a number of positions at Blue Bird Corporation (NASDAQ: BLBD) from 2010 until his resignation on April 1, 2022. Prior to his resignation, he was Vice President, with responsibility for compliance, human resources, government relations, corporate training, strategic relationships, and supply chain M&amp;A. He also held various other leadership positions within Blue Bird Corporation in the Manufacturing Operations and Supply Chain Departments from 2015 to 2016, the Finance and Accounting Department in 2011 and from 2013 to 2015, and the International Business Development and M&amp;A Departments in 2012. Mr. Lin received his B.A. in Accounting and Finance from the Eugene Stetson School of Business and Economics at Mercer University in Georgia, a Master’s degree in Accountancy from the J. Whitney Bunting College of Business at Georgia College and State University in Georgia, and a Master’s degree in Business Administration from the University of North Carolina at Chapel Hill.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18"/>
        </w:rPr>
        <w:t>Cindy Yao</w:t>
      </w:r>
      <w:r>
        <w:rPr>
          <w:color w:val="000000"/>
        </w:rPr>
        <w:t xml:space="preserve"> </w:t>
      </w:r>
      <w:r>
        <w:rPr>
          <w:rFonts w:ascii="Arial;sans-serif" w:hAnsi="Arial;sans-serif"/>
          <w:b w:val="false"/>
          <w:color w:val="000000"/>
          <w:sz w:val="18"/>
        </w:rPr>
        <w:t>served as Chief Financial Officer from May 1, 2024 until October 15, 2025. Ms. Yao joined HF Foods with over three decades of Finance and Accounting leadership experience. For the past 10 years, Ms. Yao served as Chief Financial Officer and Executive Vice President for Markel Food Group, a company providing high-quality, innovative automated process solutions, consulting services and technical support to food producers. Prior to that, from 2002 to 2013, Ms. Yao served as Vice President and Corporate Treasurer for Bausch + Lomb Corporation (NYSE: BLCO), an eye health company with $4.8 billion in annual revenue. Ms. Yao also served in various Finance and Accounting leadership roles with Corning Incorporated (NYSE: GLW), Eastman Kodak Company (NYSE: KODK), and Coopers &amp; Lybrand LLP, (now part of PwC) prior to 2002. Ms. Yao holds a Master’s degree in Accounting from the Virginia Polytechnic Institute and State University and an Executive Master’s degree in Business Administration from the Simon Business School of the University of Rochester. Ms. Yao’s separation from the Company was effective as of October 15, 2025 and terms of the separation are governed by a separation agreement dated October 30,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Paul McGarry</w:t>
      </w:r>
      <w:r>
        <w:rPr>
          <w:color w:val="000000"/>
        </w:rPr>
        <w:t xml:space="preserve"> </w:t>
      </w:r>
      <w:r>
        <w:rPr>
          <w:rFonts w:ascii="Arial;sans-serif" w:hAnsi="Arial;sans-serif"/>
          <w:b w:val="false"/>
          <w:color w:val="000000"/>
          <w:sz w:val="18"/>
        </w:rPr>
        <w:t>has served as Chief Financial Officer since January 27, 2026. Prior to his appointment as Chief Financial Officer, Mr. McGarry served as Interim Chief Financial Officer since October 15, 2025. Mr. McGarry served as the Company’s Vice President, Corporate Controller prior to his appointment as Interim Chief Financial Officer, since February 2025. Mr. McGarry is a senior finance executive with deep experience in public-company corporate governance, enterprise finance, capital markets, and operational transformation. Prior to joining the Company, Mr. McGarry served as Corporate Financial Controller at American Battery Technology Company (NASDAQ: ABAT) from July 2024 until February 2025, where he oversaw financial operations and strengthened the internal control environment. From 2023 to 2024 he served as a financial executive consultant to Alimera Sciences, Inc. (now part of ANI Pharmaceuticals, NASDAQ: ANIP), providing forecasting, financial reporting, and internal control advisory services. Prior to his time at Alimera Sciences, Inc., Mr. McGarry was a Senior Vice President, Finance and Chief Accounting Officer at Rockwell Medical, Inc. (NASDAQ: RMTI) from 2019 to 2023; Corporate Financial Controller at Alyvant, Inc. from 2018 to 2019; and Corporate Financial Controller at Champions Oncology, Inc. (NASDAQ: CSBR) from 2011 to 2018. He began his career at Deloitte &amp; Touche LLP, where he served as an Audit Manager in Assurance and Advisory Services. Mr. McGarry received his B.S. in Accounting from The Pennsylvania State University and is a Certified Public Accountant.</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18"/>
        </w:rPr>
        <w:t>Christine Chang</w:t>
      </w:r>
      <w:r>
        <w:rPr>
          <w:color w:val="000000"/>
        </w:rPr>
        <w:t xml:space="preserve"> </w:t>
      </w:r>
      <w:r>
        <w:rPr>
          <w:rFonts w:ascii="Arial;sans-serif" w:hAnsi="Arial;sans-serif"/>
          <w:b w:val="false"/>
          <w:color w:val="000000"/>
          <w:sz w:val="18"/>
        </w:rPr>
        <w:t>has served as Chief Administrative Officer since January 27, 2026. Prior to her appointment as Chief Administrative Officer, Ms. Chang served as General Counsel and Chief Compliance Officer since September 8, 2021. Ms. Chang previously served as Vice President - Legal Affairs, Labor Relations and Litigation for Boyd Gaming Corp. (NYSE: BYD). From 2014 through August 2020, she served in various capacities as Corporate Counsel, Litigation, Senior Corporate Counsel, Litigation, and Vice President and Chief Counsel, Litigation, for Caesars Entertainment, Inc. (NASDAQ: CZR). Ms. Chang also served as an associate at the law firm of Dentons LLP, from 2008 to 2013. Ms. Chang holds a Bachelor of Arts in Rhetoric from the University of California and a Juris Doctorate from Columbia University.</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Website and Availability of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corporate website is located at hffoodsgroup.com. We file annual, quarterly and current reports, proxy statements and other information with the SEC. Our filings with the SEC are available to the public on the SEC’s website at www.sec.gov. Those filings are also available to the public on, or accessible through, our corporate website for free via the “Investor Relations” section at investors.hffoodsgroup.com. The information contained on or accessible through our corporate website or any other website that we may maintain is not incorporated by reference into and is not part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1A.    RISK FACTORS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following are significant factors known to us that could materially adversely affect our business, reputation, operating results, industry, financial position and/or future financial performance. This information should be read in conjunction with Management’s Discussion and Analysis of Financial Condition and Results of Operations and the consolidated financial statements and related notes contained in this report. The following discussion of risks is not all inclusive, but is designed to highlight what we believe are the most significant factors to consider when evaluating our business. The risks set forth in this Section 1A are presented as of December 31, 2025 and the period then ended.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Risk Factors Relating to Our Business and Industry</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Our industry is characterized by low margins, and periods of significant or prolonged inflation or deflation affect our product and operational costs, which may negatively impact our profitability.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foodservice distribution industry is characterized by relatively high inventory turnover with relatively low profit margins. Volatile food costs have a direct impact on our industry. Periods of significant product cost inflation or deflation may adversely affect our results of operations if we are unable to pass on all or a portion of such product cost increases to our customers in a timely manner. In addition, periods of rapidly increasing inflation may adversely affect our business due to the impact of such inflation on discretionary spending by consumers and our limited ability to increase prices in the current, highly competitive environment.</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Changes to U.S. trade policy, tariff and import/export regulations may adversely affect our operating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Changes in U.S. or international social, political, regulatory and economic conditions or in laws and policies governing foreign trade, development and investment in the territories or countries where we currently conduct our business, as well as any negative sentiment toward the U.S. as a result of such changes, could adversely affect our business. The U.S. has instituted or proposed changes in trade policies that include the negotiation or termination of trade agreements, the imposition of higher tariffs on imports into the U.S., economic sanctions on individuals, corporations or countries, and other government regulations affecting trade between the U.S. and other countries where we conduct our business. As a result of policy changes and government proposals, there may be greater restrictions and economic disincentives on international trade. The new tariffs and other changes in U.S. trade policy could trigger retaliatory actions by affected countries, and foreign governments have instituted or are considering imposing trade sanctions on U.S. goods. Such changes have the potential to adversely impact the U.S. economy or sectors thereof, our industry and the global demand for our products, and as a result, could have a negative impact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If the U.S. continues to impose such tariffs, this may cause supply chain disruptions and could further escalate our costs. We may determine to increase our sales prices in order to pass these increased costs to our customers. In the event we determine to take such action, our customers may reduce their orders from us, which could negatively affect our business, profitability and operating results. We are closely monitoring these developments and evaluating strategies to mitigate potential impacts.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February 20, 2026, the U.S. Supreme Court rendered a decision invalidating tariffs imposed under the International Emergency Economic Powers Act (“IEEPA”). This decision introduces uncertainty regarding potential refund processes and future trade policy actions that could affect the Company’s cost structure and supply chain planning. The ultimate impact of tariffs and other trade policies on the Company’s business will depend on several factors, including future measures implemented by the U.S. government and the governments of other countries, the overall magnitude and duration of these measures and the Company’s ability to mitigate these effects.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A shortage of qualified labor or an inability to attract, train or retain employees could negatively affect our business and materially reduce earnings.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foodservice distribution industry is labor intensive. The future success of our operations, including the achievement of our strategic objectives, depends on our ability, and the ability of third parties on which we rely to supply and to deliver our products, to identify, recruit, develop and retain qualified and talented individuals. As a result, any shortage of qualified labor could significantly and adversely affect our business. Employee recruitment, development and retention efforts that we or such third parties undertake may not be successful, which could result in a shortage of qualified individuals in future periods. Any such shortage could decrease our ability to effectively serve our customers and achieve our strategic objectives. Such a shortage would also likely lead to higher wages for employees (or higher costs to purchase the services of such third parties) and a corresponding reduction in our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Our success depends in part upon our ability to attract, train and retain a sufficient number of employees who understand and appreciate our culture and are able to represent our brand effectively and establish credibility with our business partners and customers. Our ability to meet our labor needs, while controlling wage and labor-related costs, is subject to numerous external factors, including the availability of a sufficient number of qualified persons in the work force of the regions in which we are located, unemployment levels within those regions, prevailing wage rates, changing demographics, health and other insurance costs and changes in employment legislation.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the event of increasing wage rates, if we fail to increase our wages competitively, the quality of our workforce could decline, causing our customer service to suffer, while increasing our wages could cause our profits to decrease. If we are unable to hire and retain employees capable of meeting our business needs and expectations, our business and brand image may be impaired. Any failure to meet our staffing needs or any material increase in turnover rates of our employees may adversely affect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Unfavorable macroeconomic conditions in the U.S. may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operating results are substantially affected by the operating and economic conditions in the regions in which we operate. Economic conditions can affect us in the following ways: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A reduction in discretionary spending by consumers could adversely impact sales of Asian restaurants, and their purchases from us. Future economic conditions affecting disposable consumer income, such as employment levels, business conditions, changes in housing market conditions, the availability of consumer credit, inflation, interest rates, tax rates and fuel and energy costs, could reduce overall consumer spending.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Food cost and fuel cost inflation experienced by consumers can lead to reductions in the frequency of and the amount spent by consumers for food away from home purchases, which could negatively impact our business by reducing demand for our products.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Heightened uncertainty in the financial markets negatively affects consumer confidence and discretionary spending, which can cause disruptions with our customers and suppliers.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Liquidity issues and the inability of our customers to consistently access credit markets to obtain cash to support their operations can cause temporary interruptions in our ability to conduct day-to-day transactions involving the collection of funds from such customers.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Liquidity issues and the inability of suppliers to consistently access credit markets to obtain cash to support their operations can cause temporary interruptions in our ability to obtain the foodservice products and supplies needed by us in the quantities and at the prices requested.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addition, our existing distribution operations are solely in the U.S. The geographic concentration of our operations creates an exposure to economic conditions in the U.S. and any financial downturn in the U.S. could materially adversely affect our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Competition may increase in the future, which may adversely impact our margins and ability to retain customers, and make it difficult to maintain our market share, growth rate and profitability.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foodservice distribution industry, as a whole, in the U.S. is fragmented and highly competitive, with local, regional, multi-regional and national distributors, and specialty competitors. In addition, we believe that the market participants serving Asian restaurants are also highly fragmented. Currently, we face competition from smaller and/or dispersed competitors focusing on the niche market serving Asian restaurants, especially takeout restaurants. However, with the growing demand for Asian cuisines, others are operating, or may begin operating in this niche market in the future. Those potential competitors include: (i) national and regional foodservice distributors, (ii) local wholesalers and brokers, (iii) food retailers, and (iv) farmers’ markets. The national and regional distributors are experienced in operating multiple distribution locations and expanding management, and they have greater marketing and financial resources than we do. Even though they currently offer only a limited selection of Asian specialty foods, they may be able to devote greater resources to sourcing, promoting and selling their products if they choose to do so. Conversely, the local wholesalers and brokers are small in size with a deep understanding of local preferences, but their lack of scale results in high risk and limited growth potential.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If more competitors enter this market segment aiming to serve Asian restaurants in the future, our operating results may be negatively impacted through a loss of sales, reduction in margins from competitive price changes, and/or greater operating costs, such as marketing costs, due to the increase of competition.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We may not be able to fully compensate for increases in fuel costs when fuel prices experience high volatility, and our operating results would be adversely affected.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Volatile fuel prices have a direct impact on the industry served by us. We require significant quantities of fuel for delivery vehicles and are exposed to the risk associated with fluctuations in the market price for fuel. The price and supply of fuel can fluctuate significantly based on international, political and economic circumstances, as well as other factors outside our control, such as actions by the Organization of the Petroleum Exporting Countries, or OPEC, and other oil and gas producers, regional production patterns, weather conditions, environmental concerns, and geopolitical conflicts. The cost of fuel affects the price paid by us for products, as well as the costs we incur to deliver products to the customers. There is no guarantee that we will be able to pass along a portion of increased fuel costs to our customers in the future. If fuel costs remain elevated or increase further in the future, we may experience difficulties in passing all or a portion of these costs along to our customers, which may have a negative impact on our results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We rely on third-party suppliers, and our business may be affected by interruption of supplies or increases in product costs.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We purchase our food items and related products primarily from third-party suppliers. Our profitability and operating margins are dependent upon, among other things, our ability to anticipate and react to any interruptions in our distribution network and changes to food costs and availability. We generally do not enter into long-term contracts with our suppliers, whereby they would be committed to provide products to us for any appreciable duration of time. Although our purchasing volume can provide leverage when dealing with suppliers, particularly smaller suppliers for whom we may be their largest customer, suppliers may not provide or may be unable to provide the specialty food products, produce or center-of-the-plate products we need in the quantities and at the times and prices we request. The cancellation of our supply arrangements with any of our suppliers or the disruption, delay and/or inability to supply the requested products by our suppliers could adversely affect our sales. Failure to identify an alternate source of supply for these items or comparable products on commercially reasonable terms that meet our customers’ expectations may result in significant cost increases. Moreover, we do not currently use financial instruments to hedge our risk exposure to market fluctuations in the price of food products.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Similarly, our suppliers may also be affected by higher costs to source or produce and transport food products, as well as by other related expenses that they pass through to their customers, which could result in higher costs for the products they supply to us. The United States government and foreign governments may also take actions that may impact the purchase and production of goods, including imposing tariffs or other regulations on certain goods shipped, that may increase costs for goods transported globally. Our inability to anticipate and react to changing food costs through our sourcing and purchasing practices in the future could therefore negatively impact our business, financial condition or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Because we do not control the actual production of most of the products we sell, we are also subject to material supply chain interruptions, delays caused by interruption in production, and increases in product costs, including those resulting from product recalls or a need to find alternate materials or suppliers, based on conditions outside our control. These conditions include labor shortages, work slowdowns, work interruptions, strikes or other adverse employment actions by employees of ours or our suppliers, government shutdowns, weather conditions or more prolonged climate change, crop conditions, product recalls, product or raw material scarcity, water shortages, transportation interruptions within our distribution channels, unavailability of fuel or increases in fuel costs, competitive demands, contamination with mold, bacteria or other contaminants, pandemics, natural disasters or other catastrophic events, including the outbreak of e. coli or similar food borne illnesses or bioterrorism in the United States, international hostilities, civil insurrection, and social unrest. In such countries, political and social unrest may cause the prices for these products to rise to levels beyond those that our customers are willing to pay, if the product is available at all. If we are unable to obtain these products, our customers may seek a different supplier for these or other products which could negatively impact our business, financial condition or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Accordingly, if we are unable to obtain the specialty food products, produce, meat, poultry or seafood that comprise a significant percentage of our product portfolio in a timely manner and in the quantities and at the prices we request as a result of any of the foregoing factors or otherwise, we may be unable to fulfill our obligations to customers who may, as a result of any such failure, resort to other distributors for their food product needs or change the types of products they buy from us to products that are less profitable for us.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Our relationships with customers may be materially diminished or terminated. The loss of customers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have maintained long-standing relationships with a number of our customers. However, those customers could unilaterally terminate their relationship with us or materially reduce the amount of business they conduct with us at any time. Our customers may shift their purchase orders from us to other competitors due to market competition, change of customer requirements and preferences, or because of the customer’s financial condition. There is no guarantee that we will be able to maintain relationships with any of our customers on acceptable terms, or at all. The loss of a number of customers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We rely on technology in our business and any cybersecurity incident (including artificial intelligence (“AI”) -enabled threads), AI-related operational errors, other technology disruption or delay in implementing new technology could negatively affect our business and our relationships with customers.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use technology in our business operations, and our ability to serve customers most effectively depends on the reliability of our technology systems. We use software and other technology systems, among other things, to generate and select orders, to make purchases, to manage warehouses and to monitor and manage our business on a day-to-day basis. Further, our business involves the storage and transmission of numerous classes of sensitive and/or confidential information and intellectual property, including customers’ and suppliers’ personal information, private information about employees, and financial and strategic information about us and our business partners.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These technology systems are vulnerable to disruption from circumstances beyond our control, including fire, natural disasters, power outages, systems failures, security breaches, espionage, cyber-attacks, viruses, theft and inadvertent releases of information. The risk of cybersecurity attacks may increase as AI capabilities improve and are increasingly used to identify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vulnerabilities and construct increasingly sophisticated cybersecurity attacks. Any such disruption to these software and other technology systems, or the technology systems of third parties on which we rely, the failure of these systems to otherwise perform as anticipated, or the theft, destruction, loss, misappropriation, or release of sensitive and/or confidential information or intellectual property, could result in business disruption, negative publicity, brand damage, violation of privacy laws, loss of customers, potential liability and competitive disadvantage, any or all of which could potentially adversely affect our customer service, decrease the volume of our business and/or result in increased costs and lower profits.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 significant cybersecurity incident involving our cybersecurity infrastructure may result from actions by our employees, suppliers, third-party administrators, or unknown third parties or through cyber-attacks. The risk of such an incident can exist whether software services are in our technology systems or are in cloud-based software services. Intrusions and other incidents have occurred, and may occur again, in our systems and in the systems of our suppliers and third-party administrators. In addition, generative AI tools may inadvertently expose, misuse, or incorporate our confidential, personal, or third-party data, which could result in data leakage, intellectual property risks, privacy violations, or contractual breaches. Any such incident could result in operational impairments, significant harm to our reputation and financial losses.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 significant cybersecurity incident could affect our data framework or cause a failure to protect the personal information of our customers, suppliers or employees, or sensitive and confidential information regarding our business and could give rise to legal liability and regulatory action under data protection and privacy laws. Any such cybersecurity incident involving our or our suppliers’ cybersecurity infrastructure could have a material adverse effect on our business, results of operations and financial condition.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Further, as we pursue our strategy to grow through acquisitions and to pursue new initiatives that improve our operations and cost structure, we are also expanding and improving our information technology, resulting in a larger technological presence and corresponding exposure to cybersecurity risk. If we fail to assess and identify cybersecurity risks associated with acquisitions and new initiatives, we may become increasingly vulnerable to such risks. Information technology systems continue to evolve and, in order to remain competitive, we need to implement new technologies in a timely and efficient manner. Investments will continue to be made in attracting, retaining, and training our human capital to remain current on the ever-changing industry best practices related to information security. If our competitors implement new technologies more quickly or successfully than we do, such competitors may be able to provide lower cost or enhanced services of superior quality compared to those we provide, which could have an adverse effect on our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Additionally, we currently utilize certain AI tools, and as we increase our use of AI tools, the risk of unauthorized access to our data and of making errors or erroneous decisions based on our reliance on the AI tool will increase. Evolving and uncertain AI laws, standards, and governance expectations could impose new compliance obligations, restrictions, audit requirements, or liabilities, and our failure to comply could result in fines, remediation costs, or reputational harm.</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Changes in consumer eating habits could materially and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We provide foodservice distribution to Asian restaurants, primarily takeout restaurants, which focus on serving Asian food to American families. Changes in consumer eating habits (such as a decline in consuming food away from home, a decline in portion sizes, or a shift in preferences toward western foods) could reduce demand for our products. Consumer eating habits could be affected by a number of factors, including attitudes regarding diet and health or new information regarding the health effects of consuming certain foods. If consumer eating habits change significantly, we may be required to modify or discontinue sales of certain items in our product portfolio, and we may experience higher costs and/or supply shortages associated with our efforts to accommodate those changes as our suppliers adapt to new eating preferences.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Additionally, changes in consumer eating habits may result in the enactment or amendment of laws and regulations that impact the ingredients and nutritional content of our food products, or laws and regulations requiring us to disclose the nutritional content of our food products. Compliance with these laws and regulations, as well as others regarding the ingredients and nutritional content of food products, may be costly and time-consuming. We cannot make any assurances regarding our ability to effectively respond to changes in consumer culture preference, health perceptions or resulting new laws or regulations or to adapt our product offerings to trends in eating habits.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We engage in transactions with related parties and such transactions present possible conflicts of interest that could have an adverse effect on us.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regularly purchase goods and services from related parties. These related-party transactions create the possibility of conflicts of interest with regard to our management, including that:</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we may enter into contracts between us, on the one hand, and related parties, on the other, that are not as a result of arm’s-length transactions;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our executive officers and directors that hold positions of responsibility with related parties may be aware of certain business opportunities that are appropriate for presentation to us as well as to such other related parties and may present such business opportunities to such other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our executive officers and directors that hold positions of responsibility with related parties may have significant duties with, and spend significant time serving, other entities and may have conflicts of interest in allocating time;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such conflicts could cause an individual in our management to seek to advance his or her economic interests or the economic interests of certain related parties above ours.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rPr>
        <w:t xml:space="preserve">The appearance of conflicts of interest created by related-party transactions could impair the confidence of our investors. Our Board of Directors regularly reviews these transactions. The Company’s Compliance Department also distributes conflict of interest surveys to relevant individuals on its purchasing and management team and has a robust supplier and vendor due diligence program. Notwithstanding this, it is possible that a conflict of interest could have an adverse effect on our business, financial condition and results of operations. For more information on our related party transactions, see </w:t>
      </w:r>
      <w:r>
        <w:rPr>
          <w:rFonts w:ascii="Arial;sans-serif" w:hAnsi="Arial;sans-serif"/>
          <w:b w:val="false"/>
          <w:i/>
          <w:color w:val="000000"/>
          <w:sz w:val="18"/>
        </w:rPr>
        <w:t>Note 13 - Related Party Transactions</w:t>
      </w:r>
      <w:r>
        <w:rPr>
          <w:color w:val="000000"/>
        </w:rPr>
        <w:t xml:space="preserve"> </w:t>
      </w:r>
      <w:r>
        <w:rPr>
          <w:rFonts w:ascii="Arial;sans-serif" w:hAnsi="Arial;sans-serif"/>
          <w:b w:val="false"/>
          <w:color w:val="000000"/>
          <w:sz w:val="18"/>
        </w:rPr>
        <w:t>in our consolidated financial statements in this Annual Report on Form 10-K.</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We may be unable to protect or maintain our intellectual property, which could result in customer confusion, a negative perception of our brand and adversely affect our business.</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We believe that our intellectual property has substantial value and has contributed significantly to the success of our business. In particular, our “HF” logo trademarks (HF FOODS™, HF FOODS Stylized (B&amp;W)™, HF FOODS Stylized (Color)™, HF Design (B&amp;W)®, HF Design (Color)®) and our trade names including “the Han Feng trade name,” “ the Rong Cheng trade name” and “Great Wall Design®, and Great Wall Seafood™,” are valuable assets that reinforce our customers’ favorable perception of our products. Our trademark rights and related registrations may be challenged in the future and could be canceled or narrowed. Failure to protect our trademark rights could cause customer confusion or negatively affect customers’ perception of our brand and products, and eventually adversely affect our sales and profitability. Moreover, intellectual property disputes and proceedings and infringement claims may result in a significant distraction for management and significant expense, which may not be recoverable regardless of whether we are successful. Such proceedings may be protracted with no certainty of success, and an adverse outcome could subject us to liability, force us to cease use of certain trademarks or other intellectual property or force us to enter into licenses with others. Any one of these occurrences may have a material adverse effect on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If we are unable to renew or replace our current leases on favorable terms, or any of our current leases are terminated prior to expiration of their stated terms, and we cannot find suitable alternate locations, our operations and profitability could be negatively impacted.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December 31, 2025 we owned approximately 0.9 million square feet of our distribution centers (or 67% of the total square feet), and the remainder (or 33% of the total square feet) was occupied under leasing arrangements. Our ability to re-negotiate favorable terms on an expiring lease or to negotiate favorable terms for a suitable alternate location, and our ability to negotiate favorable lease terms for additional locations, could depend on conditions in the real estate market, competition for desirable properties, our relationships with current and prospective landlords, and/or other factors that are not within our control. Any or all of these factors and conditions could negatively impact our growth and profitability.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Turnover among our senior management, directors and other key personnel may create uncertainty and adversely affect our operations.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success is substantially dependent on our senior management, directors and other key personnel. Our senior management, directors and other key personnel have been primarily responsible for determining the strategic direction of our business and for executing our growth strategy, and are integral to our brand, culture and reputation with suppliers and consumers. The loss of the services of any senior management, directors or other key personnel could have a material adverse effect on our business and prospects. When appropriate we will appoint new members to our board of directors as part of our continuous efforts to enhance our corporate governance and our future strategies and plans. Newly appointed directors may have different professional experiences and industry knowledge from those individuals who previously served, and may have different views on the issues that will determine our future strategies and plans. Such changes to strategic or operating goals may ultimately be unsuccessful. In addition, transition periods relating to such changes are often difficult as new personnel gain more detailed knowledge of our operations and management. If we do not integrate any new personnel successfully, including our new directors, we may be unable to manage and grow our business, and our financial condition and profitability may suffer as a result. Any departure of senior management, directors and other key personnel could be viewed in a negative light by investors and analysts, which may cause our stock price to decline.</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Changes in and enforcement of immigration laws could increase our costs and adversely affect our ability to attract and retain qualified employees.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Federal and state governments from time to time implement immigration laws, regulations or programs that regulate our ability to attract or retain qualified foreign employees. Some of these changes may increase our obligations for compliance and oversight, which could subject us to additional costs and make our hiring process more cumbersome or reduce the availability of potential employees. Although we have implemented, and are in the process of enhancing, procedures to ensure our compliance with the employment eligibility verification requirements, there can be no assurance that these procedures are adequate and some of our employees may, without our knowledge, be unauthorized workers. The employment of unauthorized workers may subject us to fines or civil or criminal penalties, and if any of our workers are found to be unauthorized, we could experience adverse publicity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that negatively impacts our brand and makes it more difficult to hire and keep qualified employees. We may be required to terminate the employment of certain of our employees who are determined to be unauthorized workers. The termination of a significant number of employees may disrupt our operations, cause temporary increases in our labor costs as we train new employees and result in adverse publicity. Our financial performance could be materially harmed as a result of any of these factors.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Potential labor disputes with employees and increases in labor costs could adversely affect our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 considerable amount of our operating costs are attributable to labor costs and, therefore, our financial performance is greatly influenced by increases in wage and benefit costs. As a result, we are exposed to risks associated with a competitive labor market. Rising health care costs and the nature and structure of work rules will always be important issues. Any work stoppages or labor disturbances as a result of employee dissatisfaction with their current employment terms could have a material adverse effect on our financial condition, results of operations and cash flows. We also expect that in the event of a work stoppage or labor disturbance, we could incur additional costs and face increased competition.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If we fail to comply with requirements imposed by applicable law and other governmental regulations, we could become subject to lawsuits, investigations and other liabilities and restrictions on our operations that could significantly and adversely affect our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are subject to regulation by various federal, state, and local governments, applicable to food safety and sanitation, ethical business practices, securities, transportation, minimum wage, overtime, other wage payment requirements, employment discrimination, immigration, and human health and safety. While we attempt to comply with all applicable laws and regulations, we cannot represent that we are in full compliance with all applicable laws and regulations or interpretations of these laws and regulations at all times or that we will be able to comply with any future laws, regulations or interpretations of these laws and regulations. If we fail to comply with applicable laws and regulations, we may be subject to investigations, criminal sanctions or civil remedies, including fines, injunctions, and prohibitions on exporting. The cost of compliance or the consequences of non-compliance, including debarments, could have an adverse effect on our results of operations. In addition, governmental units may make changes in the regulatory frameworks within which we operate that may require us to incur substantial increases in costs in order to comply with such laws and regulations.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If the products distributed by us are alleged to have caused injury or illness, or to have failed to comply with governmental regulations, we may need to recall our products and may experience product liability claims.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like any other foodservice distributor, may be subject to product recalls, including voluntary recalls or withdrawals, if the products we distribute are alleged to have caused injury or illness, to have been mislabeled, misbranded, or adulterated or to otherwise have violated applicable governmental regulations. We may also choose to voluntarily recall or withdraw products that we determine do not satisfy our quality standards, whether for taste, appearance, or otherwise, in order to protect our brand and reputation. Any future product recall or withdrawal that results in substantial and unexpected expenditures, destruction of product inventory, damage to our reputation, and/or lost sales due to the unavailability of the product for a period of time, could materially adversely affect our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also face the risk of exposure to product liability claims in the event that the use of products sold by us are alleged to have caused injury or illness. We cannot be sure that consumption of our products will not cause a health-related illness in the future or that we will not be subject to claims or lawsuits relating to such matters. Further, even if a product liability claim is unsuccessful or is not fully pursued, the negative publicity surrounding any assertion that our products caused illness or injury could adversely affect our reputation with existing and potential customers and our corporate and brand image.</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Litigation may materially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From time to time, we may be party to various claims and legal proceedings, as well as governmental and regulatory investigations and proceedings. We evaluate these claims and proceedings to assess the likelihood of unfavorable outcomes and to estimate, if probable and estimable,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For more information related to our litigation and regulatory proceedings, see </w:t>
      </w:r>
      <w:r>
        <w:rPr>
          <w:rFonts w:ascii="Arial;sans-serif" w:hAnsi="Arial;sans-serif"/>
          <w:b w:val="false"/>
          <w:i/>
          <w:color w:val="000000"/>
          <w:sz w:val="18"/>
        </w:rPr>
        <w:t>Part I, Item 3. Legal Proceedings</w:t>
      </w:r>
      <w:r>
        <w:rPr>
          <w:color w:val="000000"/>
        </w:rPr>
        <w:t xml:space="preserve"> </w:t>
      </w:r>
      <w:r>
        <w:rPr>
          <w:rFonts w:ascii="Arial;sans-serif" w:hAnsi="Arial;sans-serif"/>
          <w:b w:val="false"/>
          <w:color w:val="000000"/>
          <w:sz w:val="18"/>
        </w:rPr>
        <w:t>to this Annual Report on Form 10-K.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Even when not merited, the defense of these lawsuits or legal proceedings, including potential securities litigation and/or other legal actions, is expensive and may divert management’s attention, and we may incur significant expenses in defending these lawsuits or legal proceedings. The results of litigation and other legal proceedings are inherently uncertain, and adverse judgments or settlements in some of these legal disputes may result in adverse monetary damages, penalties or injunctive relief against us. While we maintain insurance, insurance coverage may not be adequate, and the cost to defend against future litigation may be significant. There may also be adverse publicity associated with litigation that may decrease consumer confidence in our business, regardless of whether the allegations are valid or whether we are ultimately found liable. As a result, litigation may materially and adversely affect our business, financial condition, cash flows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76" w:before="0" w:after="0"/>
        <w:jc w:val="both"/>
        <w:rPr>
          <w:rFonts w:ascii="Arial;sans-serif" w:hAnsi="Arial;sans-serif"/>
          <w:b/>
          <w:i/>
          <w:color w:val="000000"/>
          <w:sz w:val="18"/>
        </w:rPr>
      </w:pPr>
      <w:r>
        <w:rPr>
          <w:rFonts w:ascii="Arial;sans-serif" w:hAnsi="Arial;sans-serif"/>
          <w:b/>
          <w:i/>
          <w:color w:val="000000"/>
          <w:sz w:val="18"/>
        </w:rPr>
        <w:t>An increase in interest rates could adversely affect our cash flow and financial condition.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Changes to central bank policy interest rates remain uncertain and changes to these rates can impact our business. Rising interest rates could have a dampening effect on overall economic activity and/or the financial condition of our customers, either or both of which could negatively affect customer demand for our products and industry demand generally. Rising interest rates may cause credit market dislocations which can impact funding costs.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Additionally, our borrowings bear interest at variable rates and expose us to interest rate risk. Although we monitor and manage this exposure, changes in interest rates cannot always be predicted, hedged, or offset with price increases to eliminate earnings volatility.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Impairment charges for goodwill, amortizable intangible assets or other long-lived assets could adversely affect our financial condition and results of operation.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We review our amortizable intangible assets and other long-lived assets for impairment whenever events or changes in circumstances indicate the carrying value may not be recoverable. We test goodwill for impairment at least annually, or more frequently if events or changes in circumstances indicate an asset may be impaired. Relevant factors, events and circumstances that affect the fair value of goodwill may include external factors such as macroeconomic, industry, and market conditions, as well as cost factors, overall financial performance, other relevant entity-specific events, specific events affecting the reporting unit, or sustained decrease in share price. We may be required to record a significant charge in our consolidated financial statements during the period in which any impairment of our goodwill, amortizable intangible assets, or other long-lived assets is determined, which would negatively affect our results of operations.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Impairment analysis requires significant judgment by management and the fair value of goodwill, amortizable intangible assets or other long-lived assets are sensitive to changes in key assumptions used in the projected cash flows, which include forecasted revenues and perpetual growth rates, among others, as well as current market conditions in both the United States and globally. To the extent that business conditions may deteriorate, or if changes in key assumptions and estimates differ significantly from management’s expectations, it may be necessary to record impairment charges, which could be material. The Company completed its most recent annual impairment assessment for goodwill as of the last day of the fourth quarter of fiscal year 2025. The results of the assessment indicated carrying value in excess of fair value of the reporting unit, and as such, a goodwill impairment charge of $38.8 million was recorded during the year ended December 31, 2025. Following the impairment test conducted as of December 31, 2025, the Company’s goodwill was fully impaired.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Assumptions used in impairment testing are made at a point in time and require significant judgment; therefore, they are subject to change based on the facts and circumstances present at each impairment test date. Additionally, these assumptions are generally interdependent and do not change in isolation.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Risk Factors Relating to our Acquisition Strategy</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Our continued growth depends on future acquisitions of other distributors or wholesalers and enlarging our customer base. The failure to achieve these goals could negatively impact our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Historically, a portion of our growth has come through acquisitions, and our growth strategy depends, in large part, on acquiring other distributors or wholesalers to access untapped market regions and enlarge our customer base. Successful implementation of this strategy is dependent on sufficient capital support from financing, finding suitable targets to acquire, identifying suitable locations and negotiating acceptable acquisition prices and terms. There can be no assurance that we will continue to grow through acquisitions. We may not be able to obtain sufficient capital support for our expansion plan, or successfully implement the plan to acquire other competitors timely or within budget or operate those businesses successfully.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If we are unable to integrate acquired businesses successfully or realize anticipated economic, operational and other benefits and synergies in a timely manner, our earnings may be materially adversely affected. A significant expansion of our business and operations, in terms of geography or magnitude, could strain our administrative and operational resources. Significant acquisitions may also require the issuance of material additional amounts of debt or equity, which could materially alter our debt-to-equity ratio, increase our interest expense and decrease net income, and make it difficult for us to obtain favorable financing for other acquisitions or capital investments.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operating results will be adversely affected if we fail to implement our growth strategy or if we invest resources in a growth strategy that ultimately proves unsuccessful.</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There is a scarcity of and competition for acquisition opportunities.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There are a limited number of operating companies available for acquisition that we deem to be desirable targets. In addition, there is a very high level of competition among companies seeking to acquire these operating companies. Many established and well-financed entities are active in acquiring interests in companies that we may find to be desirable acquisition candidates. Many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of these entities have significantly greater financial resources, technical expertise and managerial capabilities than we do. Consequently, we will be at a competitive disadvantage in negotiating and executing possible acquisitions of such businesses. Even if we are able to successfully compete with these larger entities, this competition may affect the terms of the transactions we are able to negotiate and, as a result, we may pay more or receive less favorable terms than we expected for potential acquisitions. We may not be able to identify operating companies that complement our strategy, and even if we identify a company that does so, we may be unable to complete a successful acquisition of such a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Risks related to acquisition financing.</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have a limited amount of financial resources and our ability to make additional acquisitions without securing additional financing from outside sources is limited. In order to continue to pursue our acquisition strategy, we may be required to obtain additional financing. We may obtain such financing through a combination of traditional debt financing and/or the placement of debt and equity securities. We may finance some portion of our future acquisitions by either issuing equity or by using shares of our common stock for all or a portion of the purchase price for such businesses. In the event that our common stock does not attain or maintain a sufficient market value, or potential acquisition candidates are otherwise unwilling to accept our common stock as part of the purchase price for the sale of their businesses, we may be required to use more of our cash resources, if available, in order to maintain our acquisition program. If we do not have sufficient cash resources, we will not be able to complete acquisitions and our growth could be limited unless we are able to obtain additional capital through debt or equity financings. The terms of our credit facility require that we obtain the consent of our lenders prior to securing additional debt financing. There could be circumstances in which our ability to obtain additional debt financing could be constrained if we are unable to secure such consent.</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We may experience difficulties in integrating the operations, personnel and assets of acquired businesses that may disrupt our business, dilute stockholder value and adversely affect our operating results.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 core component of our business plan is to acquire businesses and assets in the food distribution industry. There can be no assurance that we will be able to identify, acquire or profitably manage businesses or successfully integrate our acquired businesses without substantial costs, delays or other operational or financial problems. Such acquisitions also involve numerous operational risks, including: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difficulties in integrating operations, technologies, services and personnel;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the diversion of financial and management resources from existing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the risk of entering new markets;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the potential loss of existing or acquired strategic operating partners following an acquisition;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the potential loss of key employees following an acquisition and the associated risk of competitive efforts from such departed personnel;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possible legal disputes with the acquired company following an acquisition;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the inability to generate sufficient revenue to offset acquisition or investment costs.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a result, if we fail to properly evaluate and execute any acquisitions or investments, our business and prospects may be adversely affected.</w:t>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Risk Factors Relating to our Common Stock</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We have identified material weaknesses in our internal control over financial reporting, which could affect our ability to ensure timely and reliable financial reports, affect the ability of our auditors to attest to the effectiveness of our internal controls, and weaken investor confidence in our financial reporting.</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The Sarbanes-Oxley Act of 2002 requires, among other things, that we design, implement and maintain adequate internal controls and procedures over financial reporting. Our management has concluded that (1) our internal controls over financial reporting were not effective as of December 31, 2025, (2) there existed material weaknesses in our internal control over financial reporting as of December 31, 2025, and (3) our disclosure controls and procedures were not effective as of December 31, 2025. Refer to the discussion of these conclusions below, under </w:t>
      </w:r>
      <w:r>
        <w:rPr>
          <w:rFonts w:ascii="Arial;sans-serif" w:hAnsi="Arial;sans-serif"/>
          <w:b w:val="false"/>
          <w:i/>
          <w:color w:val="000000"/>
          <w:sz w:val="18"/>
        </w:rPr>
        <w:t>Item 9A. Controls and Procedures</w:t>
      </w:r>
      <w:r>
        <w:rPr>
          <w:color w:val="000000"/>
        </w:rPr>
        <w:t xml:space="preserve"> </w:t>
      </w:r>
      <w:r>
        <w:rPr>
          <w:rFonts w:ascii="Arial;sans-serif" w:hAnsi="Arial;sans-serif"/>
          <w:b w:val="false"/>
          <w:color w:val="000000"/>
          <w:sz w:val="18"/>
        </w:rPr>
        <w:t>of this Annual Report on Form 10-K.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have taken and will continue to take appropriate actions to remediate such material weakness and inadequate disclosure controls and procedures; however, such continuous measures are still works-in-progress and may not be sufficient to address the material weaknesses identified or ensure that our disclosure controls and procedures are effective. We may also discover other material weaknesses in the future. Any failure to maintain or implement required new or improved controls, or any difficulties we encounter in the implementation of such controls, could cause us to fail to meet our periodic reporting obligations or result in material misstatements in our financial statements and affect the ability of our auditors to attest to the effectiveness of our internal controls over financing reporting. In addition, substantial costs and resources may be required to rectify any internal control deficiencies. If we cannot produce reliable financial reports, investors could lose confidence in our reported financial information, the market price of our common stock could decline significantly, and our business and financial condition could be adversely affected.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Zhou Min Ni has significant influence over the Company and may have interests that conflict with those of our other shareholders.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Company’s former Chairman and Co-Chief Executive Officer, Zhou Min Ni, directly and indirectly through the trustee of the trusts established for the benefit of his family, beneficially owns approximately 22% of our common stock. As a result, Mr. Ni has sufficient voting power to significantly influence matters requiring shareholder approval, including the election of directors and approval of significant corporate transactions. However, in June 2024, Mr. Ni entered into a settlement with the SEC, pursuant to which Mr. Ni is enjoined from directly or indirectly participating in the management of, or otherwise exercising any control or influence over the Company; provided, however, that such injunction does not prevent Mr. Ni from voting, purchasing or selling shares of the Company on his own behalf. </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Despite the settlement with the SEC, the possibility that Mr. Ni may sell all or a large portion of his common stock in a short period of time could adversely affect the trading price of our common stock. Additionally, the interests of Mr. Ni may not align with the interests of other holders of our common stock, and he may vote against the Company’s interests. Mr. Ni’s significant beneficial ownership may also adversely affect the trading price of our common stock due to investors’ perception that conflicts of interest may exist or arise.</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Anti-takeover provisions contained in our amended and restated bylaws, as well as provisions of Delaware law, could impair a takeover attempt.</w:t>
      </w:r>
    </w:p>
    <w:p>
      <w:pPr>
        <w:pStyle w:val="TextBody"/>
        <w:bidi w:val="0"/>
        <w:spacing w:before="0" w:after="0"/>
        <w:jc w:val="both"/>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Our amended and restated certificate of incorporation, amended and restated bylaws and Delaware law contain provisions which could have the effect of rendering more difficult, delaying, or preventing an acquisition deemed undesirable by our board of directors.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These provisions, alone or together, could delay or prevent hostile takeovers and changes in control or changes in our management, and amendment of our amended and restated certificate of incorporation to change or modify certain of these provisions requires approval of a super-majority of our stockholders, which we may not be able to obtain.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Any provision of our amended and restated certificate of incorporation, amended and restated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1B.    UNRESOLVED STAFF COMMENTS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1C.    CYBERSECURITY</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Cybersecurity Risk Management and Strategy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assesses, identifies, and manages cybersecurity risks using a risk management program intended to reduce risks to the Company, its employees, customers and stockholders.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Our process for identifying and assessing material risks from cybersecurity threats operates alongside our broader overall enterprise risk assessment procedures. Our cybersecurity-specific risk assessment and management procedures help identify cybersecurity threat risks. Our cybersecurity risk assessment program includes the following: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8"/>
        </w:rPr>
        <w:t>Annual cybersecurity vulnerability and maturity assessments based on the Center for Internet Security (CIS) Critical Security Controls framework.</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8"/>
        </w:rPr>
        <w:t>Annual internal/external penetration testing conducted by a third-party offensive security vendor.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A significant cybersecurity incident may result from actions by our employees, suppliers, third-party administrators, or unknown third parties or through cyber-attacks and could affect our data framework or cause a failure to protect the personal information of our customers, suppliers or employees, or sensitive and confidential information regarding our business and could give rise to legal liability and regulatory action under data protection and privacy laws. </w:t>
      </w:r>
      <w:r>
        <w:rPr>
          <w:rFonts w:ascii="Arial;sans-serif" w:hAnsi="Arial;sans-serif"/>
          <w:b w:val="false"/>
          <w:color w:val="000000"/>
          <w:sz w:val="18"/>
          <w:shd w:fill="FFFFFF" w:val="clear"/>
        </w:rPr>
        <w:t>The Company describes whether and how risks from identified cybersecurity threats have materially affected or are reasonably likely to materially affect the Company under the heading “</w:t>
      </w:r>
      <w:r>
        <w:rPr>
          <w:rFonts w:ascii="Arial;sans-serif" w:hAnsi="Arial;sans-serif"/>
          <w:b w:val="false"/>
          <w:i/>
          <w:color w:val="000000"/>
          <w:sz w:val="18"/>
        </w:rPr>
        <w:t>We rely on technology in our business and any cybersecurity incident, other technology disruption or delay in implementing new technology could negatively affect our business and our relationships with customers</w:t>
      </w:r>
      <w:r>
        <w:rPr>
          <w:rFonts w:ascii="Arial;sans-serif" w:hAnsi="Arial;sans-serif"/>
          <w:b w:val="false"/>
          <w:color w:val="000000"/>
          <w:sz w:val="18"/>
          <w:shd w:fill="FFFFFF" w:val="clear"/>
        </w:rPr>
        <w:t xml:space="preserve">,” in Item 1A of this Annual Report on Form 10-K. To date, there have not been any cybersecurity threats or incidents that have materially affected,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are reasonably likely to materially affect, the Company, including its financial condition, results of operations, or business strategies.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Governance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Board of Directors oversees our overall risk management strategy. Our information security program is managed by our Senior Vice President of People and Technology, who has over twenty-five years of experience in IT leadership across a variety of industries including manufacturing, distribution, defense, and financial services, whose team is responsible for maintaining our enterprise-wide cybersecurity strategy, policies, standards, architecture and processes. Our program is assessed both internally and externally by third parties, including our virtual Chief Information Security Officer (“vCISO”) partner. Our Senior Vice President of People and Technology provides reports at least quarterly to our Audit Committee, as well as our Disclosure Committee, which comprises senior management and key stakeholders, as appropriate. The reports provided include updates on our cyber risks and threats, and key updates to our information security systems and programs as well as the current threat environment.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also have processes in place to stay informed of and monitor prevention, detection, mitigation, and remediation of cybersecurity risks, including: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8"/>
        </w:rPr>
        <w:t>Any cybersecurity breach, unauthorized access, data loss, or ransomware attack must be immediately escalated to the Disclosure Committee, General Counsel, Internal Audit, and Audit Committee.</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8"/>
        </w:rPr>
        <w:t>On a quarterly basis, the Disclosure Committee, in coordination with the SVP of People and Technology, Internal Audit, and vCISO, shall assess the Company’s cybersecurity risk exposure, including potential vulnerabilities in IT systems and data security.</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2.    PROPERTIES</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We operate sixteen distribution centers with a total of approximately 1.4 million square feet of warehouse space, including approximately 404,000 square feet of cold storage, for distribution, warehousing inventory, service and administrative functions. We own approximately 0.9 million square feet of our distribution centers (or 67% of the total square feet), and the remainder (or 33% of the total square feet) is occupied under leasing arrangements. The following table sets forth the approximate aggregate square footage by state for these distribution facilities as of December 31, 2025. </w:t>
      </w:r>
    </w:p>
    <w:tbl>
      <w:tblPr>
        <w:tblW w:w="5520" w:type="dxa"/>
        <w:jc w:val="left"/>
        <w:tblInd w:w="0" w:type="dxa"/>
        <w:tblLayout w:type="fixed"/>
        <w:tblCellMar>
          <w:top w:w="28" w:type="dxa"/>
          <w:left w:w="28" w:type="dxa"/>
          <w:bottom w:w="28" w:type="dxa"/>
          <w:right w:w="28" w:type="dxa"/>
        </w:tblCellMar>
      </w:tblPr>
      <w:tblGrid>
        <w:gridCol w:w="476"/>
        <w:gridCol w:w="420"/>
        <w:gridCol w:w="424"/>
        <w:gridCol w:w="109"/>
        <w:gridCol w:w="109"/>
        <w:gridCol w:w="109"/>
        <w:gridCol w:w="574"/>
        <w:gridCol w:w="574"/>
        <w:gridCol w:w="576"/>
        <w:gridCol w:w="109"/>
        <w:gridCol w:w="109"/>
        <w:gridCol w:w="109"/>
        <w:gridCol w:w="519"/>
        <w:gridCol w:w="519"/>
        <w:gridCol w:w="521"/>
        <w:gridCol w:w="109"/>
        <w:gridCol w:w="154"/>
      </w:tblGrid>
      <w:tr>
        <w:trPr/>
        <w:tc>
          <w:tcPr>
            <w:tcW w:w="47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Number of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 Square Feet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Arizona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68,000 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355,000 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Colorado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56,000 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136,000 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Georgia </w:t>
            </w:r>
            <w:r>
              <w:rPr>
                <w:rFonts w:ascii="Arial;sans-serif" w:hAnsi="Arial;sans-serif"/>
                <w:b/>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182,000 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Illinois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140,000 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Carolina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172,000 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Texas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60,000 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Utah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93,000 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44,000 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Washington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70,000 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1,376,000 </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360"/>
        <w:jc w:val="both"/>
        <w:rPr/>
      </w:pPr>
      <w:r>
        <w:rPr>
          <w:rFonts w:ascii="Arial;sans-serif" w:hAnsi="Arial;sans-serif"/>
          <w:b w:val="false"/>
          <w:color w:val="000000"/>
          <w:sz w:val="16"/>
          <w:shd w:fill="FFFFFF" w:val="clear"/>
        </w:rPr>
        <w:t>(a)</w:t>
      </w:r>
      <w:r>
        <w:rPr>
          <w:color w:val="000000"/>
        </w:rPr>
        <w:t xml:space="preserve"> </w:t>
      </w:r>
      <w:r>
        <w:rPr>
          <w:rFonts w:ascii="Arial;sans-serif" w:hAnsi="Arial;sans-serif"/>
          <w:b w:val="false"/>
          <w:color w:val="000000"/>
          <w:sz w:val="16"/>
        </w:rPr>
        <w:t>These figures do not include one facility located in Atlanta, GA that was being vacated due to the transition to a new location. The lease on the vacated facility expired as of December 31, 2025.</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We also operate a 50,000 square foot specialty oil manufacturing and packaging facility in Kansas and four cross-docks which are located in California, Nevada, Ohio and Oregon. Additionally, we own a 118,000 square foot distribution facility in North Carolina which we are preparing for operations to commence in 2026.</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We lease our corporate headquarters located in Las Vegas, Nevada, consisting of approximately 13,000 square feet with a term of 6.5 years that began on March 17, 2021. We also lease office space for a corporate location in Los Angeles, California.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i/>
          <w:color w:val="000000"/>
          <w:sz w:val="18"/>
        </w:rPr>
      </w:pPr>
      <w:r>
        <w:rPr>
          <w:rFonts w:ascii="Arial;sans-serif" w:hAnsi="Arial;sans-serif"/>
          <w:b/>
          <w:i/>
          <w:color w:val="000000"/>
          <w:sz w:val="18"/>
        </w:rPr>
        <w:t>Opening of a State-of-the-Art Distribution Warehouse in Powder Springs, GA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December 18, 2025, the Company officially opened its newest 182,000 square foot distribution center located outside Atlanta, in Powder Springs, Georgia. This brand-new facility includes warehouse, freezer, cooler, and office space and provides significant opportunities for expanding our existing operations in Atlanta and the surrounding cities and states. The Company plans to incorporate automated material handling and warehouse management technologies at the facility to support operating efficiency. The new distribution center will continue to service over 1,000 customers from HF Food’s previous Atlanta location and is now open to deliver more business throughout Georgia, Alabama, Mississippi, and Tennessee. The distribution center is located at 4795 Innovative Highway, Powder Springs, GA 30127, and currently employs over 50 individuals with plans to expand operations throughout 2026.</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We believe that, in the aggregate, our real estate is suitable and adequate to serve the needs of our business.</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3.    LEGAL PROCEEDINGS</w:t>
      </w:r>
    </w:p>
    <w:p>
      <w:pPr>
        <w:pStyle w:val="TextBody"/>
        <w:bidi w:val="0"/>
        <w:spacing w:lineRule="auto" w:line="288" w:before="180" w:after="283"/>
        <w:jc w:val="both"/>
        <w:rPr/>
      </w:pPr>
      <w:r>
        <w:rPr>
          <w:rFonts w:ascii="Arial;sans-serif" w:hAnsi="Arial;sans-serif"/>
          <w:b w:val="false"/>
          <w:color w:val="000000"/>
          <w:sz w:val="18"/>
        </w:rPr>
        <w:t xml:space="preserve">From time to time, we are a party to various lawsuits, claims and other legal proceedings that arise in the ordinary course of business. When we become aware of a claim or potential claim, we assess the likelihood of any loss or exposure. In accordance with authoritative guidance, we record loss contingencies in our financial statements only for matters in which losses are probable and can be reasonably estimated. Where a range of loss can be reasonably estimated with no best estimate in the range, we record the minimum estimated liability. If the loss is not probable or the amount of the loss cannot be reasonably estimated, we disclose the nature of the specific claim if the likelihood of a potential loss is reasonably possible and the amount involved is material. We continuously assess the potential liability related to our pending litigation and revise its estimates when additional information becomes available. Adverse outcomes in some or all of these matters may result in significant monetary damages or injunctive relief against us that could adversely affect our ability to conduct our business. There also exists the possibility of a material adverse effect on our financial statements for the period in which the effect of an unfavorable outcome becomes probable and reasonably estimable. See </w:t>
      </w:r>
      <w:r>
        <w:rPr>
          <w:rFonts w:ascii="Arial;sans-serif" w:hAnsi="Arial;sans-serif"/>
          <w:b w:val="false"/>
          <w:i/>
          <w:color w:val="000000"/>
          <w:sz w:val="18"/>
        </w:rPr>
        <w:t xml:space="preserve">Note 17 - Commitments and Contingencies </w:t>
      </w:r>
      <w:r>
        <w:rPr>
          <w:rFonts w:ascii="Arial;sans-serif" w:hAnsi="Arial;sans-serif"/>
          <w:b w:val="false"/>
          <w:color w:val="000000"/>
          <w:sz w:val="18"/>
        </w:rPr>
        <w:t>for additional information.</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4.    MINE SAFETY DISCLOSURES</w:t>
      </w:r>
    </w:p>
    <w:p>
      <w:pPr>
        <w:pStyle w:val="TextBody"/>
        <w:bidi w:val="0"/>
        <w:spacing w:before="0" w:after="0"/>
        <w:ind w:left="0" w:right="0" w:hanging="144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5.    MARKET FOR REGISTRANT’S COMMON EQUITY, RELATED STOCKHOLDER MATTERS AND ISSUER PURCHASES OF EQUITY SECURITIES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Shares of our common stock are listed for trading on NASDAQ under the symbol “HFFG,” and have been publicly traded since September 7, 2017. Prior to that date, there was no public market for our stock.</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Holders of Record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March 9, 2026, there were 33 shareholders of record of our common stock. The number of record holders was determined from the records of our transfer agent and does not include beneficial owners of common stock whose shares are held in the names of various security brokers, dealers, and registered clearing agencies.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Dividends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have not paid any cash dividends on our common stock to date. The payment of cash dividends in the future will be dependent upon our revenues and earnings, if any, capital requirements and our general financial condition. The payment of any dividends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In addition, our Board of Directors is not currently contemplating and does not anticipate declaring any stock dividends in the foreseeable future. Further, if we incur any indebtedness, our ability to declare dividends may be limited by restrictive covenants we may agree to in connection therewith.</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Recent Sales of Unregistered Securities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None.</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Issuer Purchases of Equity Securities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None.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Stock Performance Graph</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graph compares the cumulative total return on our common stock with the cumulative total returns on the Standard &amp; Poor’s 500 Composite Stock Price Index (“S&amp;P 500”), and the Standard and Poor’s 500 Food &amp; Beverage Select Industry Index from December 31, 2020 to December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graph assumes an investment of $100 in our common stock and each of the indices on December 31, 2020. The cumulative total return on our common stock as presented is not necessarily indicative of future performance.</w:t>
      </w:r>
    </w:p>
    <w:p>
      <w:pPr>
        <w:pStyle w:val="TextBody"/>
        <w:bidi w:val="0"/>
        <w:spacing w:before="0" w:after="0"/>
        <w:jc w:val="both"/>
        <w:rPr/>
      </w:pPr>
      <w:r>
        <w:rPr/>
      </w:r>
    </w:p>
    <w:p>
      <w:pPr>
        <w:pStyle w:val="TextBody"/>
        <w:bidi w:val="0"/>
        <w:spacing w:before="0" w:after="0"/>
        <w:jc w:val="center"/>
        <w:rPr/>
      </w:pPr>
      <w:r>
        <w:rPr/>
        <w:drawing>
          <wp:inline distT="0" distB="0" distL="0" distR="0">
            <wp:extent cx="5838825" cy="3619500"/>
            <wp:effectExtent l="0" t="0" r="0" b="0"/>
            <wp:docPr id="2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 descr=""/>
                    <pic:cNvPicPr>
                      <a:picLocks noChangeAspect="1" noChangeArrowheads="1"/>
                    </pic:cNvPicPr>
                  </pic:nvPicPr>
                  <pic:blipFill>
                    <a:blip r:embed="rId3"/>
                    <a:stretch>
                      <a:fillRect/>
                    </a:stretch>
                  </pic:blipFill>
                  <pic:spPr bwMode="auto">
                    <a:xfrm>
                      <a:off x="0" y="0"/>
                      <a:ext cx="5838825" cy="3619500"/>
                    </a:xfrm>
                    <a:prstGeom prst="rect">
                      <a:avLst/>
                    </a:prstGeom>
                  </pic:spPr>
                </pic:pic>
              </a:graphicData>
            </a:graphic>
          </wp:inline>
        </w:drawing>
      </w:r>
      <w:bookmarkStart w:id="1" w:name="i-2"/>
      <w:bookmarkEnd w:id="1"/>
    </w:p>
    <w:tbl>
      <w:tblPr>
        <w:tblW w:w="10205" w:type="dxa"/>
        <w:jc w:val="left"/>
        <w:tblInd w:w="0" w:type="dxa"/>
        <w:tblLayout w:type="fixed"/>
        <w:tblCellMar>
          <w:top w:w="28" w:type="dxa"/>
          <w:left w:w="28" w:type="dxa"/>
          <w:bottom w:w="28" w:type="dxa"/>
          <w:right w:w="28" w:type="dxa"/>
        </w:tblCellMar>
      </w:tblPr>
      <w:tblGrid>
        <w:gridCol w:w="1225"/>
        <w:gridCol w:w="1004"/>
        <w:gridCol w:w="1009"/>
        <w:gridCol w:w="292"/>
        <w:gridCol w:w="292"/>
        <w:gridCol w:w="294"/>
        <w:gridCol w:w="109"/>
        <w:gridCol w:w="109"/>
        <w:gridCol w:w="109"/>
        <w:gridCol w:w="292"/>
        <w:gridCol w:w="292"/>
        <w:gridCol w:w="294"/>
        <w:gridCol w:w="109"/>
        <w:gridCol w:w="109"/>
        <w:gridCol w:w="109"/>
        <w:gridCol w:w="292"/>
        <w:gridCol w:w="292"/>
        <w:gridCol w:w="294"/>
        <w:gridCol w:w="109"/>
        <w:gridCol w:w="109"/>
        <w:gridCol w:w="109"/>
        <w:gridCol w:w="292"/>
        <w:gridCol w:w="292"/>
        <w:gridCol w:w="294"/>
        <w:gridCol w:w="109"/>
        <w:gridCol w:w="109"/>
        <w:gridCol w:w="109"/>
        <w:gridCol w:w="292"/>
        <w:gridCol w:w="292"/>
        <w:gridCol w:w="294"/>
        <w:gridCol w:w="109"/>
        <w:gridCol w:w="109"/>
        <w:gridCol w:w="109"/>
        <w:gridCol w:w="271"/>
        <w:gridCol w:w="271"/>
        <w:gridCol w:w="400"/>
      </w:tblGrid>
      <w:tr>
        <w:trPr/>
        <w:tc>
          <w:tcPr>
            <w:tcW w:w="122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3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12/30/2022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12/29/2023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12/31/2024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12/31/2025</w:t>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HF Foods Group Inc.</w:t>
            </w:r>
          </w:p>
        </w:tc>
        <w:tc>
          <w:tcPr>
            <w:tcW w:w="8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S&amp;P 500</w:t>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w:t>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S&amp;P 500 Food and Beverage Select Industry Index</w:t>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6.    [RESERVED]</w:t>
      </w:r>
    </w:p>
    <w:p>
      <w:pPr>
        <w:pStyle w:val="TextBody"/>
        <w:bidi w:val="0"/>
        <w:spacing w:before="240" w:after="283"/>
        <w:ind w:left="0" w:right="0" w:hanging="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7.    MANAGEMENT’S DISCUSSION AND ANALYSIS OF FINANCIAL CONDITION AND RESULTS OF OPERATIONS</w:t>
      </w:r>
    </w:p>
    <w:p>
      <w:pPr>
        <w:pStyle w:val="TextBody"/>
        <w:bidi w:val="0"/>
        <w:spacing w:before="0" w:after="0"/>
        <w:ind w:left="0" w:right="0" w:hanging="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pPr>
      <w:r>
        <w:rPr>
          <w:rFonts w:ascii="Arial;sans-serif" w:hAnsi="Arial;sans-serif"/>
          <w:b w:val="false"/>
          <w:color w:val="000000"/>
          <w:sz w:val="18"/>
        </w:rPr>
        <w:t xml:space="preserve">The following discussion and analysis provides information about our business, the results of operations, financial condition, liquidity and capital resources of HF Foods Group Inc. This information is intended to facilitate the understanding and assessment of significant changes and trends related to our results of operations and financial condition. This discussion and analysis should be read in conjunction with the consolidated financial statements and the accompanying notes presented elsewhere in this Annual Report on Form 10-K. This discussion and analysis contains forward-looking statements that involve risks and uncertainties. Our actual results could differ materially from those anticipated in these forward-looking statements as a result of certain factors including, but not limited to, those discussed in </w:t>
      </w:r>
      <w:r>
        <w:rPr>
          <w:rFonts w:ascii="Arial;sans-serif" w:hAnsi="Arial;sans-serif"/>
          <w:b w:val="false"/>
          <w:i/>
          <w:color w:val="000000"/>
          <w:sz w:val="18"/>
        </w:rPr>
        <w:t>Part I, Item 1A. Risk Factors</w:t>
      </w:r>
      <w:r>
        <w:rPr>
          <w:rFonts w:ascii="Arial;sans-serif" w:hAnsi="Arial;sans-serif"/>
          <w:b w:val="false"/>
          <w:color w:val="000000"/>
          <w:sz w:val="18"/>
        </w:rPr>
        <w:t>. and elsewhere in this Annual Report on Form 10-K. See “Cautionary Note Regarding Forward-Looking Statements” above for further explanation.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u w:val="single"/>
        </w:rPr>
      </w:pPr>
      <w:r>
        <w:rPr>
          <w:rFonts w:ascii="Arial;sans-serif" w:hAnsi="Arial;sans-serif"/>
          <w:b/>
          <w:color w:val="000000"/>
          <w:sz w:val="18"/>
          <w:u w:val="single"/>
        </w:rPr>
        <w:t>Recent Developments</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CFO Transition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October 15, 2025 (the “Separation Date”), Cindy Yao, departed from the Company as its Chief Financial Officer. In connection with Ms. Yao’s departure, the Company entered into a Separation Agreement (the “Separation Agreement”) with Ms. Yao effective November 6,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Effective October 15, 2025, Paul McGarry, who previously served as the Company’s Vice President and Corporate Controller was appointed Interim Chief Financial Officer. Effective January 27, 2026, the Board of Directors appointed Mr. McGarry to serve as the Company’s Chief Financial Officer.</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Opening of a State-of-the-Art Distribution Warehouse in Powder Springs, GA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December 18, 2025, the Company officially opened its newest 182,000 square foot distribution center located outside Atlanta, in Powder Springs, Georgia. This brand-new facility includes warehouse, freezer, cooler, and office space and provides significant opportunities for expanding our existing operations in Atlanta and the surrounding cities and states. The Company plans to incorporate automated material handling and warehouse management technologies at the facility to support operating efficiency. The new distribution center will continue to service over 1,000 customers from HF Food’s previous Atlanta location and is now open to deliver more business throughout Georgia, Alabama, Mississippi, and Tennessee. The distribution center is located at 4795 Innovative Highway, Powder Springs, GA 30127, and currently employs over 50 individuals with plans to expand operations throughout 2026.</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u w:val="single"/>
        </w:rPr>
      </w:pPr>
      <w:r>
        <w:rPr>
          <w:rFonts w:ascii="Arial;sans-serif" w:hAnsi="Arial;sans-serif"/>
          <w:b/>
          <w:color w:val="000000"/>
          <w:sz w:val="18"/>
          <w:u w:val="single"/>
        </w:rPr>
        <w:t>Business Overview</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HF Foods is a leading marketer and distributor of fresh produce, frozen and dry food, and non-food products to Asian restaurants and other foodservice customers throughout the United States.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operate a national distribution platform comprised of sixteen distribution centers and four cross-docks, supported by a fleet of over 400 vehicles, which collectively spans 46 states and covers approximately 95% of the contiguous United States. We serve approximately 15,000 customer locations through a high-frequency, service-oriented distribution model designed to meet the operational needs of independent restaurants, including timely delivery and consistent product availability.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believe we are differentiated by our deep cultural and language understanding of the Asian restaurant community, long-standing relationships with growers and suppliers, and specialized sourcing capabilities across North America, South America, and Asia. These strengths are reinforced by nearly 1,000 employees and a centralized outsourced call center in China, which supports order taking and customer service in customers’ primary language and enables coordinated marketing and promotional campaigns.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product portfolio is supported by long-term partnerships with both domestic and international suppliers, which we believe enhances our ability to provide a broad and differentiated assortment at competitive prices. Our supplier relationships and market knowledge strengthen our purchasing and negotiating position and support continuity of supply, including improving our ability to manage potential supply chain disruptions, reduce stockouts, obtain pricing concessions, and maintain reliable delivery schedules. While Asian restaurants remain our core customer base, we intend to selectively broaden our customer reach into other ethnic and specialty foodservice segments over time as we execute our long-term growth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How to Assess HF Foods’ Performance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assessing our performance, we consider a variety of performance and financial measures, including principal growth in net revenue, gross profit, distribution, selling and administrative expenses, as well as certain non-GAAP financial measures, including EBITDA and Adjusted EBITDA. The key measures that we use to evaluate the performance of our business are set forth below:</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Net Revenue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Net revenue is equal to gross sales minus sales returns, sales incentives that we offer to our customers, such as rebates and discounts that are offsets to gross sales; and certain other adjustments. Our net revenue is driven by changes in number of customers and average customer order amount, product inflation that is reflected in the pricing of our products and mix of products sold.</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Gross Profit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Gross profit is equal to net revenue minus cost of revenue. Cost of revenue primarily includes inventory costs (net of supplier consideration), inbound freight, tariffs, customs clearance fees and other miscellaneous expenses. Cost of revenue generally changes as we incur higher or lower costs from suppliers and as the customer and product mix changes.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Distribution, Selling and Administrative Expenses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Distribution, selling and administrative expenses consist primarily of salaries, stock-based compensation and benefits for employees and contract laborers, trucking and fuel expenses, utilities, maintenance and repair expenses, insurance expenses, depreciation and amortization expenses, selling and marketing expenses, professional fees and other operating expenses.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EBITDA and Adjusted EBITDA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Discussion of our results includes certain non-GAAP financial measures, including EBITDA and Adjusted EBITDA, that we believe provides an additional tool for investors to use in evaluating ongoing operating results and trends and in comparing our financial performance with other companies in the same industry, many of which present similar non-GAAP financial measures to investors. We present EBITDA and Adjusted EBITDA in order to provide supplemental information that we consider relevant for the readers of our consolidated financial statements included elsewhere in this report, and such information is not meant to replace or supersede GAAP measures.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Management uses EBITDA to measure operating performance, defined as net income before interest expense, interest income, income taxes, and depreciation and amortization. In addition, management uses Adjusted EBITDA, defined as net income before interest expense, interest income, income taxes, and depreciation and amortization, further adjusted to exclude certain unusual, non-cash, or non-recurring expenses. Management believes that Adjusted EBITDA is less susceptible to variances in actual performance resulting from non-recurring expenses, and other non-cash charges and is more reflective of other factors that affect our operating performance.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definition of EBITDA and Adjusted EBITDA may not be the same as similarly titled measures used by other companies in the industry. EBITDA and Adjusted EBITDA are not defined under GAAP and are subject to important limitations as analytical tools and should not be considered in isolation or as substitutes for analysis of HF Foods’ results as reported under GAAP. For example, Adjusted EBITDA:</w:t>
      </w:r>
    </w:p>
    <w:p>
      <w:pPr>
        <w:pStyle w:val="TextBody"/>
        <w:bidi w:val="0"/>
        <w:spacing w:before="0" w:after="0"/>
        <w:jc w:val="both"/>
        <w:rPr/>
      </w:pPr>
      <w:r>
        <w:rPr/>
      </w:r>
    </w:p>
    <w:p>
      <w:pPr>
        <w:pStyle w:val="TextBody"/>
        <w:bidi w:val="0"/>
        <w:spacing w:lineRule="auto" w:line="288" w:before="0" w:after="0"/>
        <w:ind w:left="0" w:right="0" w:firstLine="180"/>
        <w:jc w:val="both"/>
        <w:rPr/>
      </w:pPr>
      <w:r>
        <w:rPr>
          <w:color w:val="000000"/>
        </w:rPr>
        <w:t>•</w:t>
      </w:r>
      <w:r>
        <w:rPr>
          <w:rFonts w:ascii="Arial;sans-serif" w:hAnsi="Arial;sans-serif"/>
          <w:b w:val="false"/>
          <w:color w:val="000000"/>
          <w:sz w:val="18"/>
        </w:rPr>
        <w:t>excludes certain tax payments that may represent a reduction in cash available;</w:t>
      </w:r>
    </w:p>
    <w:p>
      <w:pPr>
        <w:pStyle w:val="TextBody"/>
        <w:bidi w:val="0"/>
        <w:spacing w:lineRule="auto" w:line="288" w:before="0" w:after="0"/>
        <w:ind w:left="0" w:right="0" w:hanging="540"/>
        <w:jc w:val="both"/>
        <w:rPr/>
      </w:pPr>
      <w:r>
        <w:rPr>
          <w:color w:val="000000"/>
        </w:rPr>
        <w:t>•</w:t>
      </w:r>
      <w:r>
        <w:rPr>
          <w:rFonts w:ascii="Arial;sans-serif" w:hAnsi="Arial;sans-serif"/>
          <w:b w:val="false"/>
          <w:color w:val="000000"/>
          <w:sz w:val="18"/>
        </w:rPr>
        <w:t>does not reflect any cash capital expenditure requirements for the assets being depreciated and amortized that may have to be replaced in the future;</w:t>
      </w:r>
    </w:p>
    <w:p>
      <w:pPr>
        <w:pStyle w:val="TextBody"/>
        <w:bidi w:val="0"/>
        <w:spacing w:lineRule="auto" w:line="288" w:before="0" w:after="0"/>
        <w:ind w:left="0" w:right="0" w:firstLine="180"/>
        <w:jc w:val="both"/>
        <w:rPr/>
      </w:pPr>
      <w:r>
        <w:rPr>
          <w:color w:val="000000"/>
        </w:rPr>
        <w:t>•</w:t>
      </w:r>
      <w:r>
        <w:rPr>
          <w:rFonts w:ascii="Arial;sans-serif" w:hAnsi="Arial;sans-serif"/>
          <w:b w:val="false"/>
          <w:color w:val="000000"/>
          <w:sz w:val="18"/>
        </w:rPr>
        <w:t>does not reflect changes in, or cash requirements for, our working capital needs; and</w:t>
      </w:r>
    </w:p>
    <w:p>
      <w:pPr>
        <w:pStyle w:val="TextBody"/>
        <w:bidi w:val="0"/>
        <w:spacing w:lineRule="auto" w:line="288" w:before="0" w:after="0"/>
        <w:ind w:left="0" w:right="0" w:firstLine="180"/>
        <w:jc w:val="both"/>
        <w:rPr/>
      </w:pPr>
      <w:r>
        <w:rPr>
          <w:color w:val="000000"/>
        </w:rPr>
        <w:t>•</w:t>
      </w:r>
      <w:r>
        <w:rPr>
          <w:rFonts w:ascii="Arial;sans-serif" w:hAnsi="Arial;sans-serif"/>
          <w:b w:val="false"/>
          <w:color w:val="000000"/>
          <w:sz w:val="18"/>
        </w:rPr>
        <w:t>does not reflect the significant interest expense, or the cash requirements, necessary to service our debt.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For additional information on EBITDA and Adjusted EBITDA, see the section entitled “EBITDA and Adjusted EBITDA” 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Financial Review</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Highlights for 2025 included: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18"/>
        </w:rPr>
        <w:t>Net revenue:</w:t>
      </w:r>
      <w:r>
        <w:rPr>
          <w:color w:val="000000"/>
        </w:rPr>
        <w:t xml:space="preserve"> </w:t>
      </w:r>
      <w:r>
        <w:rPr>
          <w:rFonts w:ascii="Arial;sans-serif" w:hAnsi="Arial;sans-serif"/>
          <w:b w:val="false"/>
          <w:color w:val="000000"/>
          <w:sz w:val="18"/>
        </w:rPr>
        <w:t>Net revenue was $1,228.3 million in 2025, compared to $1,201.7 million in 2024, an increase of $26.6 million, or 2.2%. The increase was primarily attributable to volume growth and improved pricing in Seafood and Meat &amp; Poultry and volume growth in Commodity, partially offset by volume decreases within other categories.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18"/>
        </w:rPr>
        <w:t>Gross profit</w:t>
      </w:r>
      <w:r>
        <w:rPr>
          <w:rFonts w:ascii="Arial;sans-serif" w:hAnsi="Arial;sans-serif"/>
          <w:b w:val="false"/>
          <w:color w:val="000000"/>
          <w:sz w:val="18"/>
        </w:rPr>
        <w:t xml:space="preserve">: Gross profit was $207.6 million in 2025 compared to $205.2 million in 2024, an increase of $2.4 million, or 1.2%. The increase was primarily attributable to volume growth and improved pricing in Seafood and Meat and Poultry and volume growth in Commodity, partially offset by volume decreases in other categories. Gross profit margin of 16.9% for 2025 decreased from 17.1% in the prior year due to a shift in sales mix from Asian Specialty with higher margin to Meat and Poultry and Commodity with lower margins.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18"/>
        </w:rPr>
        <w:t>Distribution, selling and administrative expenses</w:t>
      </w:r>
      <w:r>
        <w:rPr>
          <w:rFonts w:ascii="Arial;sans-serif" w:hAnsi="Arial;sans-serif"/>
          <w:b w:val="false"/>
          <w:color w:val="000000"/>
          <w:sz w:val="18"/>
        </w:rPr>
        <w:t>: Distribution, selling and administrative expenses increased by $3.7 million, or 1.9%, in 2025 compared to 2024, mainly due to increases in depreciation expense of $2.3 million, occupancy expenses of $1.4 million, auto &amp; truck expense of $1.4 million and insurance costs of $1.2 million partially offset by a reduction in professional fees of $2.8 million. Distribution, selling and administrative expenses as a percentage of net revenue remained relatively consistent at 16.4% in 2025 compared to 16.5% in 2024.</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18"/>
        </w:rPr>
        <w:t>Net loss attributable to HF Foods Group Inc</w:t>
      </w:r>
      <w:r>
        <w:rPr>
          <w:rFonts w:ascii="Arial;sans-serif" w:hAnsi="Arial;sans-serif"/>
          <w:b w:val="false"/>
          <w:color w:val="000000"/>
          <w:sz w:val="18"/>
        </w:rPr>
        <w:t>.: Net loss attributable to HF Foods Group Inc. was $38.8 million in 2025 compared to net loss of $48.5 million in 2024. The improvement of $9.7 million was primarily driven by an increase in income tax benefit of $7.9 million, due to the result of current year goodwill impairment charges, as well as an improvement in loss from operations of $6.1 million compared to 2024 which was offset by one time gain from the termination of a lease guarantee liability of $5.5 million within other income in the prior year and an increase in fair value of interest rate swap expense year over year of $3.6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u w:val="single"/>
        </w:rPr>
      </w:pPr>
      <w:r>
        <w:rPr>
          <w:rFonts w:ascii="Arial;sans-serif" w:hAnsi="Arial;sans-serif"/>
          <w:b/>
          <w:color w:val="000000"/>
          <w:sz w:val="18"/>
          <w:u w:val="single"/>
        </w:rPr>
        <w:t>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Comparison of Year Ended December 31, 2025 to Year Ended December 31, 2024</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sets forth a summary of our consolidated results of operations for the years ended December 31, 2025 and 2024. The historical results presented below are not necessarily indicative of the results that may be expected for any future period.</w:t>
      </w:r>
    </w:p>
    <w:tbl>
      <w:tblPr>
        <w:tblW w:w="10205" w:type="dxa"/>
        <w:jc w:val="left"/>
        <w:tblInd w:w="0" w:type="dxa"/>
        <w:tblLayout w:type="fixed"/>
        <w:tblCellMar>
          <w:top w:w="28" w:type="dxa"/>
          <w:left w:w="28" w:type="dxa"/>
          <w:bottom w:w="28" w:type="dxa"/>
          <w:right w:w="28" w:type="dxa"/>
        </w:tblCellMar>
      </w:tblPr>
      <w:tblGrid>
        <w:gridCol w:w="2048"/>
        <w:gridCol w:w="1801"/>
        <w:gridCol w:w="1804"/>
        <w:gridCol w:w="211"/>
        <w:gridCol w:w="976"/>
        <w:gridCol w:w="109"/>
        <w:gridCol w:w="109"/>
        <w:gridCol w:w="109"/>
        <w:gridCol w:w="109"/>
        <w:gridCol w:w="211"/>
        <w:gridCol w:w="976"/>
        <w:gridCol w:w="109"/>
        <w:gridCol w:w="109"/>
        <w:gridCol w:w="109"/>
        <w:gridCol w:w="109"/>
        <w:gridCol w:w="211"/>
        <w:gridCol w:w="721"/>
        <w:gridCol w:w="109"/>
        <w:gridCol w:w="109"/>
        <w:gridCol w:w="156"/>
      </w:tblGrid>
      <w:tr>
        <w:trPr/>
        <w:tc>
          <w:tcPr>
            <w:tcW w:w="2048"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65" w:type="dxa"/>
            <w:gridSpan w:val="2"/>
            <w:tcBorders/>
          </w:tcPr>
          <w:p>
            <w:pPr>
              <w:pStyle w:val="TableContents"/>
              <w:bidi w:val="0"/>
              <w:spacing w:before="0" w:after="283"/>
              <w:jc w:val="left"/>
              <w:rPr>
                <w:sz w:val="4"/>
                <w:szCs w:val="4"/>
              </w:rPr>
            </w:pPr>
            <w:r>
              <w:rPr>
                <w:sz w:val="4"/>
                <w:szCs w:val="4"/>
              </w:rPr>
            </w:r>
          </w:p>
        </w:tc>
      </w:tr>
      <w:tr>
        <w:trPr/>
        <w:tc>
          <w:tcPr>
            <w:tcW w:w="5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rial;sans-serif" w:hAnsi="Arial;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5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Distribution, selling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Goodwill impairment charges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5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 contracts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3,563</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Lease guarantee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Loss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 and comprehensive loss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net income (loss) attributable to 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 and comprehensive loss attributable to HF Foods Group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4605" cy="14605"/>
                <wp:effectExtent l="0" t="0" r="0" b="0"/>
                <wp:wrapNone/>
                <wp:docPr id="29" name="Frame27"/>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The following table sets forth the components of our consolidated results of operations expressed as a percentage of net revenue for the periods indicated:</w:t>
      </w:r>
    </w:p>
    <w:tbl>
      <w:tblPr>
        <w:tblW w:w="8543" w:type="dxa"/>
        <w:jc w:val="left"/>
        <w:tblInd w:w="0" w:type="dxa"/>
        <w:tblLayout w:type="fixed"/>
        <w:tblCellMar>
          <w:top w:w="28" w:type="dxa"/>
          <w:left w:w="28" w:type="dxa"/>
          <w:bottom w:w="28" w:type="dxa"/>
          <w:right w:w="28" w:type="dxa"/>
        </w:tblCellMar>
      </w:tblPr>
      <w:tblGrid>
        <w:gridCol w:w="2063"/>
        <w:gridCol w:w="1812"/>
        <w:gridCol w:w="1824"/>
        <w:gridCol w:w="352"/>
        <w:gridCol w:w="264"/>
        <w:gridCol w:w="478"/>
        <w:gridCol w:w="192"/>
        <w:gridCol w:w="192"/>
        <w:gridCol w:w="192"/>
        <w:gridCol w:w="352"/>
        <w:gridCol w:w="264"/>
        <w:gridCol w:w="558"/>
      </w:tblGrid>
      <w:tr>
        <w:trPr/>
        <w:tc>
          <w:tcPr>
            <w:tcW w:w="2063"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2024</w:t>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83.1 </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Distribution, selling and administrative expenses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Goodwill impairment charges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5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 contracts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Lease guarantee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Loss before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 and comprehensive loss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net income (loss) attributable to noncontrolling interests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 and comprehensive loss attributable to HF Foods Group Inc.</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shd w:fill="FFFFFF" w:val="clear"/>
        </w:rPr>
      </w:pPr>
      <w:r>
        <w:rPr>
          <w:rFonts w:ascii="Arial;sans-serif" w:hAnsi="Arial;sans-serif"/>
          <w:b/>
          <w:i/>
          <w:color w:val="000000"/>
          <w:sz w:val="18"/>
          <w:shd w:fill="FFFFFF" w:val="clear"/>
        </w:rPr>
        <w:t>Net Revenue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shd w:fill="FFFFFF" w:val="clear"/>
        </w:rPr>
        <w:t xml:space="preserve">Net revenue for the </w:t>
      </w:r>
      <w:r>
        <w:rPr>
          <w:rFonts w:ascii="Arial;sans-serif" w:hAnsi="Arial;sans-serif"/>
          <w:b w:val="false"/>
          <w:color w:val="000000"/>
          <w:sz w:val="18"/>
        </w:rPr>
        <w:t>year ended December 31, 2025</w:t>
      </w:r>
      <w:r>
        <w:rPr>
          <w:color w:val="000000"/>
          <w:shd w:fill="FFFFFF" w:val="clear"/>
        </w:rPr>
        <w:t xml:space="preserve"> </w:t>
      </w:r>
      <w:r>
        <w:rPr>
          <w:rFonts w:ascii="Arial;sans-serif" w:hAnsi="Arial;sans-serif"/>
          <w:b w:val="false"/>
          <w:color w:val="000000"/>
          <w:sz w:val="18"/>
          <w:shd w:fill="FFFFFF" w:val="clear"/>
        </w:rPr>
        <w:t>increased by $26.6 million, or 2.2%, compared to the same period in 2024. T</w:t>
      </w:r>
      <w:r>
        <w:rPr>
          <w:rFonts w:ascii="Arial;sans-serif" w:hAnsi="Arial;sans-serif"/>
          <w:b w:val="false"/>
          <w:color w:val="000000"/>
          <w:sz w:val="18"/>
        </w:rPr>
        <w:t>he increase was primarily attributable to volume growth and improved pricing in Seafood and Meat &amp; Poultry and volume growth in Commodity, partially offset by volume decreases within other categories.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Gross Profit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Gross profit was $207.6 million for the year ended December 31, 2025 compared to $205.2 million in the same period in </w:t>
      </w:r>
      <w:r>
        <w:rPr>
          <w:rFonts w:ascii="Arial;sans-serif" w:hAnsi="Arial;sans-serif"/>
          <w:b w:val="false"/>
          <w:color w:val="000000"/>
          <w:sz w:val="18"/>
          <w:shd w:fill="FFFFFF" w:val="clear"/>
        </w:rPr>
        <w:t>2024</w:t>
      </w:r>
      <w:r>
        <w:rPr>
          <w:rFonts w:ascii="Arial;sans-serif" w:hAnsi="Arial;sans-serif"/>
          <w:b w:val="false"/>
          <w:color w:val="000000"/>
          <w:sz w:val="18"/>
        </w:rPr>
        <w:t xml:space="preserve">, an increase of $2.4 million, or </w:t>
      </w:r>
      <w:r>
        <w:rPr>
          <w:rFonts w:ascii="Arial;sans-serif" w:hAnsi="Arial;sans-serif"/>
          <w:b w:val="false"/>
          <w:color w:val="000000"/>
          <w:sz w:val="18"/>
          <w:shd w:fill="FFFFFF" w:val="clear"/>
        </w:rPr>
        <w:t>1.2%</w:t>
      </w:r>
      <w:r>
        <w:rPr>
          <w:rFonts w:ascii="Arial;sans-serif" w:hAnsi="Arial;sans-serif"/>
          <w:b w:val="false"/>
          <w:color w:val="000000"/>
          <w:sz w:val="18"/>
        </w:rPr>
        <w:t>. The gross profit increase was attributable to increased net revenue partially offset by increased costs. Gross profit margin for the year ended December 31, 2025 decreased slightly to 16.9% compared to 17.1% in the same period in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Distribution, Selling and Administrative Expenses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Distribution, selling and administrative expenses of $201.8 million for the year ended December 31, 2025 increased by $3.7 million, or 1.9%, in 2025 compared to $198.0 million in 2024, mainly due to increases in depreciation expense of $2.3 million, occupancy expenses of $1.4 million, auto &amp; truck expense of $1.4 million and insurance costs of $1.2 million partially offset by a reduction in professional fees of $2.8 million. Distribution, selling and administrative expenses as a percentage of net revenue remained relatively consistent at 16.4% in 2025 compared to 16.5% in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Interest Expense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Interest expense for the year ended December 31, 2025 increased slightly to $11.47 million, compared to $11.43 million for the year ended December 31, 2024, an increase of $0.04 million or 0.4%. The increase was driven by an increase in our average daily line of credit balance of $1.3 million, partially offset by a decrease in our average daily JPMorgan Chase mortgage-secured term loan balance of $5.1 million combined with a slightly lower interest-rate environment. Average floating interest rates on our floating-rate debt for the year ended December 31, 2025 decreased by approximately 0.9% on the line of credit and 0.9% on the JPMorgan Chase mortgage-secured term loan, compared to 2024. Our average daily line of credit balance was $56.8 million for the year ended December 31, 2025, up from $55.5 million for the year ended December 31, 2024, while our average daily JPMorgan Chase mortgage-secured term loan balance decreased to $98.5 million for the year ended December 31, 2025 from $103.6 million for the year ended December 31,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Income Tax Expense (Benefit)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Income tax benefit was $6.0 million for the year ended December 31, 2025, compared to an income tax expense of $2.0 million for the year ended December 31, 2024. The $7.9 million increase in income tax benefit was primarily driven by lower nondeductible goodwill impairment charges in 2025, as well as the impact of the SEC settlement recognized in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Net Loss Attributable to HF Foods Group, Inc.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Net loss attributable to HF Foods Group Inc. was $38.8 million for the year ended December 31, 2025, compared to a net loss of $48.5 million for the year ended December 31, 2024. The $9.7 million improvement in net loss was primarily attributable to a $7.9 million favorable change in income taxes, a $6.1 million improvement in loss from operations due to a lower goodwill impairment charge in 2025 compared to 2024. These favorable variances were partially offset by the absence of the $5.5 million non-recurring gain recognized in the prior year from the termination of a lease guarantee liability, which was recorded in other income, and by a $3.6 million unfavorable year-over-year change in the fair value of the Company’s interest rate swap. Following the 2025 impairment, the Company has no remaining goodwill.</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EBITDA and Adjusted EBITDA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reconciles EBITDA and Adjusted EBITDA to the most directly comparable GAAP measure:</w:t>
      </w:r>
    </w:p>
    <w:tbl>
      <w:tblPr>
        <w:tblW w:w="9069" w:type="dxa"/>
        <w:jc w:val="left"/>
        <w:tblInd w:w="0" w:type="dxa"/>
        <w:tblLayout w:type="fixed"/>
        <w:tblCellMar>
          <w:top w:w="28" w:type="dxa"/>
          <w:left w:w="28" w:type="dxa"/>
          <w:bottom w:w="28" w:type="dxa"/>
          <w:right w:w="28" w:type="dxa"/>
        </w:tblCellMar>
      </w:tblPr>
      <w:tblGrid>
        <w:gridCol w:w="1538"/>
        <w:gridCol w:w="1351"/>
        <w:gridCol w:w="1356"/>
        <w:gridCol w:w="109"/>
        <w:gridCol w:w="109"/>
        <w:gridCol w:w="109"/>
        <w:gridCol w:w="416"/>
        <w:gridCol w:w="398"/>
        <w:gridCol w:w="398"/>
        <w:gridCol w:w="215"/>
        <w:gridCol w:w="215"/>
        <w:gridCol w:w="215"/>
        <w:gridCol w:w="416"/>
        <w:gridCol w:w="398"/>
        <w:gridCol w:w="398"/>
        <w:gridCol w:w="109"/>
        <w:gridCol w:w="109"/>
        <w:gridCol w:w="109"/>
        <w:gridCol w:w="376"/>
        <w:gridCol w:w="284"/>
        <w:gridCol w:w="287"/>
        <w:gridCol w:w="154"/>
      </w:tblGrid>
      <w:tr>
        <w:trPr/>
        <w:tc>
          <w:tcPr>
            <w:tcW w:w="1538"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(39,311)</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8,791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11,431</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(5,970)</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28,382</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(5,468)</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Lease guarantee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5,548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1,870</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3,563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Stock-based compensation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1,759</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SEC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Goodwill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38,815</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(7,488)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Business transformation costs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3,637</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Other non-routine expense </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1,378</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Executive transition and organizational redesign </w:t>
            </w:r>
            <w:r>
              <w:rPr>
                <w:rFonts w:ascii="Arial;sans-serif" w:hAnsi="Arial;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2,964</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44,955</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2,914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_________________</w:t>
      </w:r>
    </w:p>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(1)    Represents costs associated with the launch and continued implementation of strategic projects including supply chain management improvements and technology infrastructure initiatives.</w:t>
      </w:r>
    </w:p>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(2)    Includes legal and consulting costs related to various corporate projects and other strategic initiatives.</w:t>
      </w:r>
    </w:p>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(3)    Includes severance and related expenses for the Company’s transition of executive officers and organizational redesign.</w:t>
      </w:r>
    </w:p>
    <w:p>
      <w:pPr>
        <w:pStyle w:val="TextBody"/>
        <w:bidi w:val="0"/>
        <w:spacing w:before="120" w:after="283"/>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u w:val="single"/>
        </w:rPr>
      </w:pPr>
      <w:r>
        <w:rPr>
          <w:rFonts w:ascii="Arial;sans-serif" w:hAnsi="Arial;sans-serif"/>
          <w:b/>
          <w:color w:val="000000"/>
          <w:sz w:val="18"/>
          <w:u w:val="single"/>
        </w:rPr>
        <w:t>Liquidity and Capital Resources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December 31, 2025, we had cash of approximately $8.6 million, checks issued not presented for payment of $1.7 million and access to approximately $61.2 million in additional funds through our $125.0 million line of credit, subject to a borrowing base calculation. We have funded working capital and other capital requirements primarily by cash flow from operations and bank loans. Cash is required to pay purchase costs for inventory, salaries, fuel and trucking expenses, selling expenses, rental expenses, income taxes, other operating expenses and to service debts.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We believe that our cash flow generated from operations is sufficient to meet our normal working capital needs for at least the next twelve months. However, our ability to repay our current obligations will depend on the future realization of our current assets. Management has considered the historical experience, the economy, the trends in the foodservice distribution industry to determine the expected collectability of accounts receivable and the realization of inventories as of December 31, 2025.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are party to an amortizing interest rate swap contract with JPMorgan Chase for an initial notional amount of $120.0 million, expiring in March 2028, as a means to partially hedge our existing floating rate loans exposure. Pursuant to the agreement, we will pay the swap counterparty a fixed rate of 4.11% in exchange for floating payments based on CME Term SOFR.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Management believes we have sufficient access to funds to meet our working capital requirements and debt obligations in the next twelve months. However, there are a number of factors that could potentially arise which might result in shortfalls in anticipated cash flow, such as the demand for our products, economic conditions, competitive pricing in the foodservice distribution industry, and our bank and suppliers being able to provide continued support. If the future cash flow from operations and other capital resources is insufficient to fund our liquidity needs, we may have to resort to reducing or delaying our expected capital investment plans, liquidating assets, obtaining additional debt or equity capital, or refinancing all or a portion of our debt.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December 31, 2025, we have no off-balance sheet arrangements that currently have or are reasonably likely to have a material effect on our consolidated financial position, changes in financial condition, results of operations, liquidity, capital expenditures or capital resources.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summarizes cash flow data for the years ended December 31, 2025 and 2024:</w:t>
      </w:r>
    </w:p>
    <w:tbl>
      <w:tblPr>
        <w:tblW w:w="7530" w:type="dxa"/>
        <w:jc w:val="left"/>
        <w:tblInd w:w="0" w:type="dxa"/>
        <w:tblLayout w:type="fixed"/>
        <w:tblCellMar>
          <w:top w:w="28" w:type="dxa"/>
          <w:left w:w="28" w:type="dxa"/>
          <w:bottom w:w="28" w:type="dxa"/>
          <w:right w:w="28" w:type="dxa"/>
        </w:tblCellMar>
      </w:tblPr>
      <w:tblGrid>
        <w:gridCol w:w="1312"/>
        <w:gridCol w:w="1157"/>
        <w:gridCol w:w="1160"/>
        <w:gridCol w:w="211"/>
        <w:gridCol w:w="721"/>
        <w:gridCol w:w="109"/>
        <w:gridCol w:w="109"/>
        <w:gridCol w:w="109"/>
        <w:gridCol w:w="109"/>
        <w:gridCol w:w="211"/>
        <w:gridCol w:w="721"/>
        <w:gridCol w:w="109"/>
        <w:gridCol w:w="109"/>
        <w:gridCol w:w="109"/>
        <w:gridCol w:w="109"/>
        <w:gridCol w:w="211"/>
        <w:gridCol w:w="691"/>
        <w:gridCol w:w="109"/>
        <w:gridCol w:w="154"/>
      </w:tblGrid>
      <w:tr>
        <w:trPr/>
        <w:tc>
          <w:tcPr>
            <w:tcW w:w="1312"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decrease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Operating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Net cash provided by operating activities consists primarily of net loss adjusted for non-cash items, including depreciation and amortization, goodwill impairment charges, changes in deferred income taxes and others, and includes the effect of working capital changes. Net cash provided by operating activities increased by $2.8 million primarily due to an increase in non-cash expense add-backs and increases in accounts payable balances, offset by the timing of working capital outlays mainly for inventory purchases and increases in our accounts receivable balances.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Investing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Net cash used in investing activities increased by $7.8 million primarily due to increased capital project spend in the year ended December 31,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Financing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Net cash used in financing activities remained relatively consistent at $10.9 million during the year ended December 31, 2025 primarily due to the higher overall net proceeds from line of credit activity, offset by overall lower interest rates as compared to the year ended December 31, 2024.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u w:val="single"/>
        </w:rPr>
      </w:pPr>
      <w:r>
        <w:rPr>
          <w:rFonts w:ascii="Arial;sans-serif" w:hAnsi="Arial;sans-serif"/>
          <w:b/>
          <w:color w:val="000000"/>
          <w:sz w:val="18"/>
          <w:u w:val="single"/>
        </w:rPr>
        <w:t>Critical Accounting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discussion and analysis of our financial condition and results of operations are based upon our financial statements, which have been prepared in accordance with GAAP. These principles require management to make estimates and judgments that affect the reported amounts of assets, liabilities, revenues and expenses, cash flow and related disclosure of contingent assets and liabilities. The estimates include, but are not limited to, inventory reserves, impairment of long-lived assets, impairment of goodwill, and the purchase price allocation and fair value of assets and liabilities acquired with respect to business combinations. We base our estimates on historical experience and various other assumptions that we believe to be reasonable under the circumstances. Actual results may differ from these estimates. To the extent that there are material differences between these estimates and the actual results, future financial statements will be affected.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We believe that among our significant accounting policies, which are described in </w:t>
      </w:r>
      <w:r>
        <w:rPr>
          <w:rFonts w:ascii="Arial;sans-serif" w:hAnsi="Arial;sans-serif"/>
          <w:b w:val="false"/>
          <w:i/>
          <w:color w:val="000000"/>
          <w:sz w:val="18"/>
        </w:rPr>
        <w:t>Note 2 - Summary of Significant Accounting Policies</w:t>
      </w:r>
      <w:r>
        <w:rPr>
          <w:color w:val="000000"/>
        </w:rPr>
        <w:t xml:space="preserve"> </w:t>
      </w:r>
      <w:r>
        <w:rPr>
          <w:rFonts w:ascii="Arial;sans-serif" w:hAnsi="Arial;sans-serif"/>
          <w:b w:val="false"/>
          <w:color w:val="000000"/>
          <w:sz w:val="18"/>
        </w:rPr>
        <w:t>to the consolidated financial statements in this Annual Report on Form 10-K, the following accounting policies involve a greater degree of judgment and complexity. Accordingly, we believe these are the most critical to fully understand and evaluate our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Goodwill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Goodwill represents the excess of the purchase price over the fair value of net assets acquired in a business combination. We test goodwill for impairment at least annually, as of December 31, or whenever events or changes in circumstances indicate that goodwill might be impaired. We have concluded we are one reporting unit for purposes of testing goodwill for impairment.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We review the carrying value of goodwill whenever events or changes in circumstances indicate that such carrying values may not be recoverable and annually for goodwill as required by ASC Topic 350, </w:t>
      </w:r>
      <w:r>
        <w:rPr>
          <w:rFonts w:ascii="Arial;sans-serif" w:hAnsi="Arial;sans-serif"/>
          <w:b w:val="false"/>
          <w:i/>
          <w:color w:val="000000"/>
          <w:sz w:val="18"/>
        </w:rPr>
        <w:t>Intangibles — Goodwill and Other</w:t>
      </w:r>
      <w:r>
        <w:rPr>
          <w:rFonts w:ascii="Arial;sans-serif" w:hAnsi="Arial;sans-serif"/>
          <w:b w:val="false"/>
          <w:color w:val="000000"/>
          <w:sz w:val="18"/>
        </w:rPr>
        <w:t xml:space="preserve">. Factors that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be considered a change in circumstances, indicating that the carrying value of our goodwill may not be recoverable, include a sustained decline in stock price and market capitalization, reduced future cash flow estimates and slower growth rates in our industry. This guidance provides the option to first assess qualitative factors to determine whether it is more likely than not that the fair value of a reporting unit is less than its carrying value. If, based on a review of qualitative factors, it is more likely than not that the fair value of a reporting unit is less than its carrying value, we perform a quantitative analysis. If the quantitative analysis indicates the carrying value of a reporting unit exceeds its fair value, we measure any goodwill impairment losses as the amount by which the carrying amount of a reporting unit exceeds its fair value, not to exceed the total amount of goodwill allocated to that reporting unit.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September 30, 2024, the Company concluded that a triggering event occurred due to a sustained decline in the Company’s stock price since December 31, 2023, which required interim testing for goodwill impairment in accordance with ASC 350. Accordingly, the Company performed a quantitative assessment as of September 30, 2024. The fair value of the reporting unit exceeded the carrying value by approximately 1%, and therefore we concluded no impairment existed as of that date.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As a result of continued declines in the level of stock price, the Company performed a quantitative impairment assessment as of December 31, 2024. The results of the testing as of December 31, 2024, concluded that the estimated fair value of the reporting unit fell short of carrying value, and therefore impairment existed as of that date. A goodwill impairment charge of $46.3 million was recorded in the consolidated statements of operations during the year ended December 31, 2024.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a result of declines in the stock price during the fourth quarter of 2025, the Company performed a quantitative impairment assessment as of December 31, 2025. The results of the testing at December 31, 2025, resulted in the conclusion that the estimated fair value of the Company’s single reporting unit was less than its carrying value, and its goodwill was impaired. A goodwill impairment charge was recorded in the consolidated statement of operations during the year ended December 31, 2025 of $38.8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For the impairment tests conducted in 2025 and 2024, we used a combination of an income approach or a discounted cash flow (“DCF”) model and market approaches, such as public company comparable analysis and comparable acquisitions analysis to determine fair value of the reporting unit. The income approach and market approaches were weighted equally to estimate fair value. The income approach requires detailed forecasts of cash flows, including significant assumptions such as revenue growth rates, gross profit margins, distribution, selling and administrative expenses, among other assumptions, and an estimate of weighted-average cost of capital which we believe approximate the assumptions from a market participant’s perspective. The market approaches are primarily impacted by an enterprise value multiple of EBITDA. These estimates incorporate many uncertain factors which could be impacted by changes in market conditions, interest rates, growth rate, tax rates, costs, customer behavior, regulatory environment and other macroeconomic changes. In addition, we considered the reasonableness of the fair value of the reporting unit by assessing the implied enterprise value control premium based on our market capitalization and also considered the lack of liquidity in the Company’s common stock. The Company’s common stock is fairly thinly traded, with a higher level of internal stockholders than its peers, and no major analyst coverage. As a result, the implied value from the traded stock price is based on limited investment public interest. Our market capitalization is calculated using the number of common shares outstanding and common stock publicly traded price. We determined that the implied control premiums used in each analysis were reasonable which corroborates our fair value estimates. We categorize the fair value determination as Level 3 in the fair value hierarchy due to its use of internal projections and unobservable measurement inputs.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See </w:t>
      </w:r>
      <w:r>
        <w:rPr>
          <w:rFonts w:ascii="Arial;sans-serif" w:hAnsi="Arial;sans-serif"/>
          <w:b w:val="false"/>
          <w:i/>
          <w:color w:val="000000"/>
          <w:sz w:val="18"/>
        </w:rPr>
        <w:t>Note 7 - Goodwill and Intangible Assets</w:t>
      </w:r>
      <w:r>
        <w:rPr>
          <w:color w:val="000000"/>
        </w:rPr>
        <w:t xml:space="preserve"> </w:t>
      </w:r>
      <w:r>
        <w:rPr>
          <w:rFonts w:ascii="Arial;sans-serif" w:hAnsi="Arial;sans-serif"/>
          <w:b w:val="false"/>
          <w:color w:val="000000"/>
          <w:sz w:val="18"/>
        </w:rPr>
        <w:t>to the consolidated financial statements in this Annual Report on Form 10-K for additional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Assumptions used in impairment testing are made at a point in time and require significant judgment; therefore, they are subject to change based on the facts and circumstances present at each impairment test date. Additionally, these assumptions are generally interdependent and do not change in isolation.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Following the impairment test conducted as of December 31, 2025, the Company’s goodwill was fully impaired.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Impairment of Long-lived Assets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We assess our long-lived assets such as property and equipment and intangible assets subject to amortization for impairment whenever events or changes in circumstances indicate the carrying amount of an asset or asset group may not be recoverable. Factors which may indicate potential impairment include a significant underperformance related to the historical or projected future operating results or a significant negative industry or economic trend. Recoverability of these assets is measured by comparison of their carrying amounts to future undiscounted cash flows which the assets or asset groups are expected to generate. If property and equipment and intangible assets are considered to be impaired, the impairment to be recognized equals the amount by which the carrying value of the assets exceeds their fair value. The testing for impairment of long-lived assets occurs prior to any testing related to goodwill. The Company assessed whether the carrying amounts of the Company’s long-lived assets were impaired and determined no events or changes in circumstances indicated that the carrying amounts may not be recoverable.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No impairment of long-lived assets was recognized during the years ended December 31, 2025 or 2024</w:t>
      </w:r>
      <w:r>
        <w:rPr>
          <w:rFonts w:ascii="Times New Roman;serif" w:hAnsi="Times New Roman;serif"/>
          <w:b w:val="false"/>
          <w:color w:val="008080"/>
          <w:sz w:val="18"/>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u w:val="single"/>
        </w:rPr>
      </w:pPr>
      <w:r>
        <w:rPr>
          <w:rFonts w:ascii="Arial;sans-serif" w:hAnsi="Arial;sans-serif"/>
          <w:b/>
          <w:color w:val="000000"/>
          <w:sz w:val="18"/>
          <w:u w:val="single"/>
        </w:rPr>
        <w:t>Recent Accounting Pronouncements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For a discussion of recent accounting pronouncements, see </w:t>
      </w:r>
      <w:r>
        <w:rPr>
          <w:rFonts w:ascii="Arial;sans-serif" w:hAnsi="Arial;sans-serif"/>
          <w:b w:val="false"/>
          <w:i/>
          <w:color w:val="000000"/>
          <w:sz w:val="18"/>
        </w:rPr>
        <w:t>Note 2 - Summary of Significant Accounting Policies</w:t>
      </w:r>
      <w:r>
        <w:rPr>
          <w:color w:val="000000"/>
        </w:rPr>
        <w:t xml:space="preserve"> </w:t>
      </w:r>
      <w:r>
        <w:rPr>
          <w:rFonts w:ascii="Arial;sans-serif" w:hAnsi="Arial;sans-serif"/>
          <w:b w:val="false"/>
          <w:color w:val="000000"/>
          <w:sz w:val="18"/>
        </w:rPr>
        <w:t>to the consolidated financial statements in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7A.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Interest Rate Risk</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Our debt exposes us to risk of fluctuations in interest rates. Floating rate debt, where the interest rate fluctuates periodically, exposes us to short-term changes in market interest rates. Fixed rate debt, where the interest rate is fixed over the life of the instrument, exposes us to changes in market interest rates reflected in the fair value of the debt and to the risk that we may need to refinance maturing debt with new debt at higher rates. We manage our debt portfolio to achieve an overall desired proportion of fixed and floating rate debts and may employ interest rate swaps as a tool from time to time to achieve that position. To manage our interest rate risk exposure, we entered into four interest rate swap contracts to hedge the floating rate term loans. See </w:t>
      </w:r>
      <w:r>
        <w:rPr>
          <w:rFonts w:ascii="Arial;sans-serif" w:hAnsi="Arial;sans-serif"/>
          <w:b w:val="false"/>
          <w:i/>
          <w:color w:val="000000"/>
          <w:sz w:val="18"/>
        </w:rPr>
        <w:t xml:space="preserve">Note 8 - Derivative Financial Instruments </w:t>
      </w:r>
      <w:r>
        <w:rPr>
          <w:rFonts w:ascii="Arial;sans-serif" w:hAnsi="Arial;sans-serif"/>
          <w:b w:val="false"/>
          <w:color w:val="000000"/>
          <w:sz w:val="18"/>
        </w:rPr>
        <w:t>to the consolidated financial statements in this Annual Report on Form 10-K for additional information.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As of December 31, 2025, our aggregate floating rate debt’s outstanding principal balance without hedging was $57.9 million, or 35.7% of total debt, consisting primarily of our revolving line of credit (see </w:t>
      </w:r>
      <w:r>
        <w:rPr>
          <w:rFonts w:ascii="Arial;sans-serif" w:hAnsi="Arial;sans-serif"/>
          <w:b w:val="false"/>
          <w:i/>
          <w:color w:val="000000"/>
          <w:sz w:val="18"/>
        </w:rPr>
        <w:t>Note 9 - Long-Term Debt</w:t>
      </w:r>
      <w:r>
        <w:rPr>
          <w:color w:val="000000"/>
        </w:rPr>
        <w:t xml:space="preserve"> </w:t>
      </w:r>
      <w:r>
        <w:rPr>
          <w:rFonts w:ascii="Arial;sans-serif" w:hAnsi="Arial;sans-serif"/>
          <w:b w:val="false"/>
          <w:color w:val="000000"/>
          <w:sz w:val="18"/>
        </w:rPr>
        <w:t>to the consolidated financial statements in this Annual Report on Form 10-K). Our floating rate debt interest is based on the floating 1-month SOFR plus a predetermined credit adjustment rate plus the bank spread. The remaining 64.3% of our debt is on a fixed rate or a floating rate with hedging. In a hypothetical scenario, a 1% change in the applicable rate would cause the interest expense on our floating rate debt to change by approximately $0.6 million per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Fuel Price Risk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are also exposed to risks relating to fluctuations in the price and availability of diesel fuel. We require significant quantities of diesel fuel for our vehicle fleet, and the inbound delivery of the products we sell is also dependent upon shipment by diesel-fueled vehicles. Additionally, elevated fuel costs can negatively impact consumer confidence and discretionary spending and thus reduce the frequency and amount spent by consumers for food-away-from-home purchases. We currently are able to obtain adequate supplies of diesel fuel, and average prices for 2025 decreased in comparison to average prices in 2024, decreasing 2.6% on average. However, it is impossible to predict the future availability or price of diesel fuel. The price and supply of diesel fuel fluctuates based on external factors not within our control, including geopolitical developments, supply and demand for oil and gas, regional production patterns, weather conditions and environmental concerns. Increases in the cost of diesel fuel could increase our cost of goods sold and operating costs to deliver products to our customers.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do not actively hedge the price fluctuation of diesel fuel in general. Instead, we seek to minimize fuel cost risk through delivery route optimization and fleet utilization improvement.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8.     FINANCIAL STATEMENTS AND SUPPLEMENTARY DATA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HF Foods Group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Index to Consolidated Financial Statements</w:t>
      </w:r>
    </w:p>
    <w:tbl>
      <w:tblPr>
        <w:tblW w:w="10205" w:type="dxa"/>
        <w:jc w:val="left"/>
        <w:tblInd w:w="0" w:type="dxa"/>
        <w:tblLayout w:type="fixed"/>
        <w:tblCellMar>
          <w:top w:w="28" w:type="dxa"/>
          <w:left w:w="28" w:type="dxa"/>
          <w:bottom w:w="28" w:type="dxa"/>
          <w:right w:w="28" w:type="dxa"/>
        </w:tblCellMar>
      </w:tblPr>
      <w:tblGrid>
        <w:gridCol w:w="3502"/>
        <w:gridCol w:w="3050"/>
        <w:gridCol w:w="3066"/>
        <w:gridCol w:w="171"/>
        <w:gridCol w:w="171"/>
        <w:gridCol w:w="245"/>
      </w:tblGrid>
      <w:tr>
        <w:trPr/>
        <w:tc>
          <w:tcPr>
            <w:tcW w:w="3502"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30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9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Page</w:t>
            </w:r>
          </w:p>
        </w:tc>
      </w:tr>
      <w:tr>
        <w:trPr/>
        <w:tc>
          <w:tcPr>
            <w:tcW w:w="96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274">
              <w:r>
                <w:rPr>
                  <w:rStyle w:val="InternetLink"/>
                  <w:rFonts w:ascii="Arial;sans-serif" w:hAnsi="Arial;sans-serif"/>
                  <w:b w:val="false"/>
                  <w:strike w:val="false"/>
                  <w:dstrike w:val="false"/>
                  <w:color w:val="000000"/>
                  <w:sz w:val="18"/>
                  <w:u w:val="none"/>
                  <w:effect w:val="none"/>
                </w:rPr>
                <w:t>Report of Independent Registered Public Accounting Firm</w:t>
              </w:r>
            </w:hyperlink>
            <w:r>
              <w:rPr>
                <w:rFonts w:ascii="Arial;sans-serif" w:hAnsi="Arial;sans-serif"/>
                <w:b w:val="false"/>
                <w:color w:val="000000"/>
                <w:sz w:val="18"/>
              </w:rPr>
              <w:t xml:space="preserve"> - Year Ended December 31, 2025 (BDO USA, P.C.; Troy, Michigan; PCAOB ID #243)</w:t>
            </w:r>
          </w:p>
        </w:tc>
        <w:tc>
          <w:tcPr>
            <w:tcW w:w="5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i4a23716667a442c18ca358dd896e1fdb_274">
              <w:r>
                <w:rPr>
                  <w:rStyle w:val="InternetLink"/>
                  <w:rFonts w:ascii="Arial;sans-serif" w:hAnsi="Arial;sans-serif"/>
                  <w:b w:val="false"/>
                  <w:strike w:val="false"/>
                  <w:dstrike w:val="false"/>
                  <w:color w:val="000000"/>
                  <w:sz w:val="18"/>
                  <w:u w:val="none"/>
                  <w:effect w:val="none"/>
                </w:rPr>
                <w:t>33</w:t>
              </w:r>
            </w:hyperlink>
          </w:p>
        </w:tc>
      </w:tr>
      <w:tr>
        <w:trPr/>
        <w:tc>
          <w:tcPr>
            <w:tcW w:w="96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265">
              <w:r>
                <w:rPr>
                  <w:rStyle w:val="InternetLink"/>
                  <w:rFonts w:ascii="Arial;sans-serif" w:hAnsi="Arial;sans-serif"/>
                  <w:b w:val="false"/>
                  <w:strike w:val="false"/>
                  <w:dstrike w:val="false"/>
                  <w:color w:val="000000"/>
                  <w:sz w:val="18"/>
                  <w:u w:val="none"/>
                  <w:effect w:val="none"/>
                </w:rPr>
                <w:t>Consolidated Financial Statements</w:t>
              </w:r>
            </w:hyperlink>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16">
              <w:r>
                <w:rPr>
                  <w:rStyle w:val="InternetLink"/>
                  <w:rFonts w:ascii="Arial;sans-serif" w:hAnsi="Arial;sans-serif"/>
                  <w:b w:val="false"/>
                  <w:strike w:val="false"/>
                  <w:dstrike w:val="false"/>
                  <w:color w:val="000000"/>
                  <w:sz w:val="18"/>
                  <w:u w:val="none"/>
                  <w:effect w:val="none"/>
                </w:rPr>
                <w:t>35</w:t>
              </w:r>
            </w:hyperlink>
          </w:p>
        </w:tc>
      </w:tr>
      <w:tr>
        <w:trPr/>
        <w:tc>
          <w:tcPr>
            <w:tcW w:w="96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16">
              <w:r>
                <w:rPr>
                  <w:rStyle w:val="InternetLink"/>
                  <w:rFonts w:ascii="Arial;sans-serif" w:hAnsi="Arial;sans-serif"/>
                  <w:b w:val="false"/>
                  <w:strike w:val="false"/>
                  <w:dstrike w:val="false"/>
                  <w:color w:val="000000"/>
                  <w:sz w:val="18"/>
                  <w:u w:val="none"/>
                  <w:effect w:val="none"/>
                </w:rPr>
                <w:t>Consolidated Balance Sheets</w:t>
              </w:r>
            </w:hyperlink>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16">
              <w:r>
                <w:rPr>
                  <w:rStyle w:val="InternetLink"/>
                  <w:rFonts w:ascii="Arial;sans-serif" w:hAnsi="Arial;sans-serif"/>
                  <w:b w:val="false"/>
                  <w:strike w:val="false"/>
                  <w:dstrike w:val="false"/>
                  <w:color w:val="000000"/>
                  <w:sz w:val="18"/>
                  <w:u w:val="none"/>
                  <w:effect w:val="none"/>
                </w:rPr>
                <w:t>35</w:t>
              </w:r>
            </w:hyperlink>
          </w:p>
        </w:tc>
      </w:tr>
      <w:tr>
        <w:trPr/>
        <w:tc>
          <w:tcPr>
            <w:tcW w:w="96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22">
              <w:r>
                <w:rPr>
                  <w:rStyle w:val="InternetLink"/>
                  <w:rFonts w:ascii="Arial;sans-serif" w:hAnsi="Arial;sans-serif"/>
                  <w:b w:val="false"/>
                  <w:strike w:val="false"/>
                  <w:dstrike w:val="false"/>
                  <w:color w:val="000080"/>
                  <w:sz w:val="18"/>
                  <w:u w:val="single"/>
                  <w:effect w:val="none"/>
                </w:rPr>
                <w:t>Consolidated Statements of Operations and Comprehensive</w:t>
              </w:r>
            </w:hyperlink>
            <w:hyperlink w:anchor="i4a23716667a442c18ca358dd896e1fdb_22">
              <w:r>
                <w:rPr>
                  <w:rStyle w:val="InternetLink"/>
                  <w:rFonts w:ascii="Arial;sans-serif" w:hAnsi="Arial;sans-serif"/>
                  <w:b w:val="false"/>
                  <w:strike w:val="false"/>
                  <w:dstrike w:val="false"/>
                  <w:color w:val="000080"/>
                  <w:sz w:val="18"/>
                  <w:u w:val="single"/>
                  <w:effect w:val="none"/>
                </w:rPr>
                <w:t xml:space="preserve"> </w:t>
              </w:r>
            </w:hyperlink>
            <w:hyperlink w:anchor="i4a23716667a442c18ca358dd896e1fdb_22">
              <w:r>
                <w:rPr>
                  <w:rStyle w:val="InternetLink"/>
                  <w:rFonts w:ascii="Arial;sans-serif" w:hAnsi="Arial;sans-serif"/>
                  <w:b w:val="false"/>
                  <w:strike w:val="false"/>
                  <w:dstrike w:val="false"/>
                  <w:color w:val="000080"/>
                  <w:sz w:val="18"/>
                  <w:u w:val="single"/>
                  <w:effect w:val="none"/>
                </w:rPr>
                <w:t>Loss</w:t>
              </w:r>
            </w:hyperlink>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22">
              <w:r>
                <w:rPr>
                  <w:rStyle w:val="InternetLink"/>
                  <w:rFonts w:ascii="Arial;sans-serif" w:hAnsi="Arial;sans-serif"/>
                  <w:b w:val="false"/>
                  <w:strike w:val="false"/>
                  <w:dstrike w:val="false"/>
                  <w:color w:val="000000"/>
                  <w:sz w:val="18"/>
                  <w:u w:val="none"/>
                  <w:effect w:val="none"/>
                </w:rPr>
                <w:t>36</w:t>
              </w:r>
            </w:hyperlink>
          </w:p>
        </w:tc>
      </w:tr>
      <w:tr>
        <w:trPr/>
        <w:tc>
          <w:tcPr>
            <w:tcW w:w="96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25">
              <w:r>
                <w:rPr>
                  <w:rStyle w:val="InternetLink"/>
                  <w:rFonts w:ascii="Arial;sans-serif" w:hAnsi="Arial;sans-serif"/>
                  <w:b w:val="false"/>
                  <w:strike w:val="false"/>
                  <w:dstrike w:val="false"/>
                  <w:color w:val="000000"/>
                  <w:sz w:val="18"/>
                  <w:u w:val="none"/>
                  <w:effect w:val="none"/>
                </w:rPr>
                <w:t>Consolidated Statements of Cash Flows</w:t>
              </w:r>
            </w:hyperlink>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25">
              <w:r>
                <w:rPr>
                  <w:rStyle w:val="InternetLink"/>
                  <w:rFonts w:ascii="Arial;sans-serif" w:hAnsi="Arial;sans-serif"/>
                  <w:b w:val="false"/>
                  <w:strike w:val="false"/>
                  <w:dstrike w:val="false"/>
                  <w:color w:val="000000"/>
                  <w:sz w:val="18"/>
                  <w:u w:val="none"/>
                  <w:effect w:val="none"/>
                </w:rPr>
                <w:t>37</w:t>
              </w:r>
            </w:hyperlink>
          </w:p>
        </w:tc>
      </w:tr>
      <w:tr>
        <w:trPr/>
        <w:tc>
          <w:tcPr>
            <w:tcW w:w="96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28">
              <w:r>
                <w:rPr>
                  <w:rStyle w:val="InternetLink"/>
                  <w:rFonts w:ascii="Arial;sans-serif" w:hAnsi="Arial;sans-serif"/>
                  <w:b w:val="false"/>
                  <w:strike w:val="false"/>
                  <w:dstrike w:val="false"/>
                  <w:color w:val="000000"/>
                  <w:sz w:val="18"/>
                  <w:u w:val="none"/>
                  <w:effect w:val="none"/>
                </w:rPr>
                <w:t>Consolidated Statements of Changes in Shareholders’ Equity</w:t>
              </w:r>
            </w:hyperlink>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28">
              <w:r>
                <w:rPr>
                  <w:rStyle w:val="InternetLink"/>
                  <w:rFonts w:ascii="Arial;sans-serif" w:hAnsi="Arial;sans-serif"/>
                  <w:b w:val="false"/>
                  <w:strike w:val="false"/>
                  <w:dstrike w:val="false"/>
                  <w:color w:val="000000"/>
                  <w:sz w:val="18"/>
                  <w:u w:val="none"/>
                  <w:effect w:val="none"/>
                </w:rPr>
                <w:t>39</w:t>
              </w:r>
            </w:hyperlink>
          </w:p>
        </w:tc>
      </w:tr>
      <w:tr>
        <w:trPr/>
        <w:tc>
          <w:tcPr>
            <w:tcW w:w="96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31">
              <w:r>
                <w:rPr>
                  <w:rStyle w:val="InternetLink"/>
                  <w:rFonts w:ascii="Arial;sans-serif" w:hAnsi="Arial;sans-serif"/>
                  <w:b w:val="false"/>
                  <w:strike w:val="false"/>
                  <w:dstrike w:val="false"/>
                  <w:color w:val="000000"/>
                  <w:sz w:val="18"/>
                  <w:u w:val="none"/>
                  <w:effect w:val="none"/>
                </w:rPr>
                <w:t>Notes to Consolidated Financial Statements</w:t>
              </w:r>
            </w:hyperlink>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31">
              <w:r>
                <w:rPr>
                  <w:rStyle w:val="InternetLink"/>
                  <w:rFonts w:ascii="Arial;sans-serif" w:hAnsi="Arial;sans-serif"/>
                  <w:b w:val="false"/>
                  <w:strike w:val="false"/>
                  <w:dstrike w:val="false"/>
                  <w:color w:val="000000"/>
                  <w:sz w:val="18"/>
                  <w:u w:val="none"/>
                  <w:effect w:val="none"/>
                </w:rPr>
                <w:t>40</w:t>
              </w:r>
            </w:hyperlink>
          </w:p>
        </w:tc>
      </w:tr>
      <w:tr>
        <w:trPr/>
        <w:tc>
          <w:tcPr>
            <w:tcW w:w="96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34">
              <w:r>
                <w:rPr>
                  <w:rStyle w:val="InternetLink"/>
                  <w:rFonts w:ascii="Arial;sans-serif" w:hAnsi="Arial;sans-serif"/>
                  <w:b w:val="false"/>
                  <w:strike w:val="false"/>
                  <w:dstrike w:val="false"/>
                  <w:color w:val="000000"/>
                  <w:sz w:val="18"/>
                  <w:u w:val="none"/>
                  <w:effect w:val="none"/>
                </w:rPr>
                <w:t>Note 1 - Organization and Description of Business</w:t>
              </w:r>
            </w:hyperlink>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34">
              <w:r>
                <w:rPr>
                  <w:rStyle w:val="InternetLink"/>
                  <w:rFonts w:ascii="Arial;sans-serif" w:hAnsi="Arial;sans-serif"/>
                  <w:b w:val="false"/>
                  <w:strike w:val="false"/>
                  <w:dstrike w:val="false"/>
                  <w:color w:val="000000"/>
                  <w:sz w:val="18"/>
                  <w:u w:val="none"/>
                  <w:effect w:val="none"/>
                </w:rPr>
                <w:t>40</w:t>
              </w:r>
            </w:hyperlink>
          </w:p>
        </w:tc>
      </w:tr>
      <w:tr>
        <w:trPr/>
        <w:tc>
          <w:tcPr>
            <w:tcW w:w="96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40">
              <w:r>
                <w:rPr>
                  <w:rStyle w:val="InternetLink"/>
                  <w:rFonts w:ascii="Arial;sans-serif" w:hAnsi="Arial;sans-serif"/>
                  <w:b w:val="false"/>
                  <w:strike w:val="false"/>
                  <w:dstrike w:val="false"/>
                  <w:color w:val="000000"/>
                  <w:sz w:val="18"/>
                  <w:u w:val="none"/>
                  <w:effect w:val="none"/>
                </w:rPr>
                <w:t>Note 2 - Summary of Significant Accounting Policies</w:t>
              </w:r>
            </w:hyperlink>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40">
              <w:r>
                <w:rPr>
                  <w:rStyle w:val="InternetLink"/>
                  <w:rFonts w:ascii="Arial;sans-serif" w:hAnsi="Arial;sans-serif"/>
                  <w:b w:val="false"/>
                  <w:strike w:val="false"/>
                  <w:dstrike w:val="false"/>
                  <w:color w:val="000000"/>
                  <w:sz w:val="18"/>
                  <w:u w:val="none"/>
                  <w:effect w:val="none"/>
                </w:rPr>
                <w:t>40</w:t>
              </w:r>
            </w:hyperlink>
          </w:p>
        </w:tc>
      </w:tr>
      <w:tr>
        <w:trPr/>
        <w:tc>
          <w:tcPr>
            <w:tcW w:w="96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46">
              <w:r>
                <w:rPr>
                  <w:rStyle w:val="InternetLink"/>
                  <w:rFonts w:ascii="Arial;sans-serif" w:hAnsi="Arial;sans-serif"/>
                  <w:b w:val="false"/>
                  <w:strike w:val="false"/>
                  <w:dstrike w:val="false"/>
                  <w:color w:val="000000"/>
                  <w:sz w:val="18"/>
                  <w:u w:val="none"/>
                  <w:effect w:val="none"/>
                </w:rPr>
                <w:t>Note 3 - Revenue</w:t>
              </w:r>
            </w:hyperlink>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46">
              <w:r>
                <w:rPr>
                  <w:rStyle w:val="InternetLink"/>
                  <w:rFonts w:ascii="Arial;sans-serif" w:hAnsi="Arial;sans-serif"/>
                  <w:b w:val="false"/>
                  <w:strike w:val="false"/>
                  <w:dstrike w:val="false"/>
                  <w:color w:val="000000"/>
                  <w:sz w:val="18"/>
                  <w:u w:val="none"/>
                  <w:effect w:val="none"/>
                </w:rPr>
                <w:t>47</w:t>
              </w:r>
            </w:hyperlink>
          </w:p>
        </w:tc>
      </w:tr>
      <w:tr>
        <w:trPr/>
        <w:tc>
          <w:tcPr>
            <w:tcW w:w="96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49">
              <w:r>
                <w:rPr>
                  <w:rStyle w:val="InternetLink"/>
                  <w:rFonts w:ascii="Arial;sans-serif" w:hAnsi="Arial;sans-serif"/>
                  <w:b w:val="false"/>
                  <w:strike w:val="false"/>
                  <w:dstrike w:val="false"/>
                  <w:color w:val="000000"/>
                  <w:sz w:val="18"/>
                  <w:u w:val="none"/>
                  <w:effect w:val="none"/>
                </w:rPr>
                <w:t>Note 4 - Balance Sheet Components</w:t>
              </w:r>
            </w:hyperlink>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49">
              <w:r>
                <w:rPr>
                  <w:rStyle w:val="InternetLink"/>
                  <w:rFonts w:ascii="Arial;sans-serif" w:hAnsi="Arial;sans-serif"/>
                  <w:b w:val="false"/>
                  <w:strike w:val="false"/>
                  <w:dstrike w:val="false"/>
                  <w:color w:val="000000"/>
                  <w:sz w:val="18"/>
                  <w:u w:val="none"/>
                  <w:effect w:val="none"/>
                </w:rPr>
                <w:t>47</w:t>
              </w:r>
            </w:hyperlink>
          </w:p>
        </w:tc>
      </w:tr>
      <w:tr>
        <w:trPr/>
        <w:tc>
          <w:tcPr>
            <w:tcW w:w="96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52">
              <w:r>
                <w:rPr>
                  <w:rStyle w:val="InternetLink"/>
                  <w:rFonts w:ascii="Arial;sans-serif" w:hAnsi="Arial;sans-serif"/>
                  <w:b w:val="false"/>
                  <w:strike w:val="false"/>
                  <w:dstrike w:val="false"/>
                  <w:color w:val="000000"/>
                  <w:sz w:val="18"/>
                  <w:u w:val="none"/>
                  <w:effect w:val="none"/>
                </w:rPr>
                <w:t>Note 5 - Fair Value Measurements</w:t>
              </w:r>
            </w:hyperlink>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a23716667a442c18ca358dd896e1fdb_52">
              <w:r>
                <w:rPr>
                  <w:rStyle w:val="InternetLink"/>
                  <w:rFonts w:ascii="Arial;sans-serif" w:hAnsi="Arial;sans-serif"/>
                  <w:b w:val="false"/>
                  <w:strike w:val="false"/>
                  <w:dstrike w:val="false"/>
                  <w:color w:val="000000"/>
                  <w:sz w:val="18"/>
                  <w:u w:val="none"/>
                  <w:effect w:val="none"/>
                </w:rPr>
                <w:t>49</w:t>
              </w:r>
            </w:hyperlink>
          </w:p>
        </w:tc>
      </w:tr>
      <w:tr>
        <w:trPr/>
        <w:tc>
          <w:tcPr>
            <w:tcW w:w="96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55">
              <w:r>
                <w:rPr>
                  <w:rStyle w:val="InternetLink"/>
                  <w:rFonts w:ascii="Arial;sans-serif" w:hAnsi="Arial;sans-serif"/>
                  <w:b w:val="false"/>
                  <w:strike w:val="false"/>
                  <w:dstrike w:val="false"/>
                  <w:color w:val="000000"/>
                  <w:sz w:val="18"/>
                  <w:u w:val="none"/>
                  <w:effect w:val="none"/>
                </w:rPr>
                <w:t>Note 6 - Leases</w:t>
              </w:r>
            </w:hyperlink>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55">
              <w:r>
                <w:rPr>
                  <w:rStyle w:val="InternetLink"/>
                  <w:rFonts w:ascii="Arial;sans-serif" w:hAnsi="Arial;sans-serif"/>
                  <w:b w:val="false"/>
                  <w:strike w:val="false"/>
                  <w:dstrike w:val="false"/>
                  <w:color w:val="000000"/>
                  <w:sz w:val="18"/>
                  <w:u w:val="none"/>
                  <w:effect w:val="none"/>
                </w:rPr>
                <w:t>50</w:t>
              </w:r>
            </w:hyperlink>
          </w:p>
        </w:tc>
      </w:tr>
      <w:tr>
        <w:trPr/>
        <w:tc>
          <w:tcPr>
            <w:tcW w:w="9618"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r>
      <w:tr>
        <w:trPr/>
        <w:tc>
          <w:tcPr>
            <w:tcW w:w="96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73">
              <w:r>
                <w:rPr>
                  <w:rStyle w:val="InternetLink"/>
                  <w:rFonts w:ascii="Arial;sans-serif" w:hAnsi="Arial;sans-serif"/>
                  <w:b w:val="false"/>
                  <w:strike w:val="false"/>
                  <w:dstrike w:val="false"/>
                  <w:color w:val="000000"/>
                  <w:sz w:val="18"/>
                  <w:u w:val="none"/>
                  <w:effect w:val="none"/>
                </w:rPr>
                <w:t>Note 7 - Goodwill and Intangible Assets</w:t>
              </w:r>
            </w:hyperlink>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73">
              <w:r>
                <w:rPr>
                  <w:rStyle w:val="InternetLink"/>
                  <w:rFonts w:ascii="Arial;sans-serif" w:hAnsi="Arial;sans-serif"/>
                  <w:b w:val="false"/>
                  <w:strike w:val="false"/>
                  <w:dstrike w:val="false"/>
                  <w:color w:val="000000"/>
                  <w:sz w:val="18"/>
                  <w:u w:val="none"/>
                  <w:effect w:val="none"/>
                </w:rPr>
                <w:t>53</w:t>
              </w:r>
            </w:hyperlink>
          </w:p>
        </w:tc>
      </w:tr>
      <w:tr>
        <w:trPr/>
        <w:tc>
          <w:tcPr>
            <w:tcW w:w="96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82">
              <w:r>
                <w:rPr>
                  <w:rStyle w:val="InternetLink"/>
                  <w:rFonts w:ascii="Arial;sans-serif" w:hAnsi="Arial;sans-serif"/>
                  <w:b w:val="false"/>
                  <w:strike w:val="false"/>
                  <w:dstrike w:val="false"/>
                  <w:color w:val="000000"/>
                  <w:sz w:val="18"/>
                  <w:u w:val="none"/>
                  <w:effect w:val="none"/>
                </w:rPr>
                <w:t>Note 8 - Derivative Financial Instruments</w:t>
              </w:r>
            </w:hyperlink>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82">
              <w:r>
                <w:rPr>
                  <w:rStyle w:val="InternetLink"/>
                  <w:rFonts w:ascii="Arial;sans-serif" w:hAnsi="Arial;sans-serif"/>
                  <w:b w:val="false"/>
                  <w:strike w:val="false"/>
                  <w:dstrike w:val="false"/>
                  <w:color w:val="000000"/>
                  <w:sz w:val="18"/>
                  <w:u w:val="none"/>
                  <w:effect w:val="none"/>
                </w:rPr>
                <w:t>54</w:t>
              </w:r>
            </w:hyperlink>
          </w:p>
        </w:tc>
      </w:tr>
      <w:tr>
        <w:trPr/>
        <w:tc>
          <w:tcPr>
            <w:tcW w:w="96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85">
              <w:r>
                <w:rPr>
                  <w:rStyle w:val="InternetLink"/>
                  <w:rFonts w:ascii="Arial;sans-serif" w:hAnsi="Arial;sans-serif"/>
                  <w:b w:val="false"/>
                  <w:strike w:val="false"/>
                  <w:dstrike w:val="false"/>
                  <w:color w:val="000000"/>
                  <w:sz w:val="18"/>
                  <w:u w:val="none"/>
                  <w:effect w:val="none"/>
                </w:rPr>
                <w:t>Note 9 - Long-Term Debt</w:t>
              </w:r>
            </w:hyperlink>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85">
              <w:r>
                <w:rPr>
                  <w:rStyle w:val="InternetLink"/>
                  <w:rFonts w:ascii="Arial;sans-serif" w:hAnsi="Arial;sans-serif"/>
                  <w:b w:val="false"/>
                  <w:strike w:val="false"/>
                  <w:dstrike w:val="false"/>
                  <w:color w:val="000000"/>
                  <w:sz w:val="18"/>
                  <w:u w:val="none"/>
                  <w:effect w:val="none"/>
                </w:rPr>
                <w:t>55</w:t>
              </w:r>
            </w:hyperlink>
          </w:p>
        </w:tc>
      </w:tr>
      <w:tr>
        <w:trPr/>
        <w:tc>
          <w:tcPr>
            <w:tcW w:w="96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94">
              <w:r>
                <w:rPr>
                  <w:rStyle w:val="InternetLink"/>
                  <w:rFonts w:ascii="Arial;sans-serif" w:hAnsi="Arial;sans-serif"/>
                  <w:b w:val="false"/>
                  <w:strike w:val="false"/>
                  <w:dstrike w:val="false"/>
                  <w:color w:val="000080"/>
                  <w:sz w:val="18"/>
                  <w:u w:val="single"/>
                  <w:effect w:val="none"/>
                </w:rPr>
                <w:t>Note 10 - S</w:t>
              </w:r>
            </w:hyperlink>
            <w:hyperlink w:anchor="i4a23716667a442c18ca358dd896e1fdb_94">
              <w:r>
                <w:rPr>
                  <w:rStyle w:val="InternetLink"/>
                  <w:rFonts w:ascii="Arial;sans-serif" w:hAnsi="Arial;sans-serif"/>
                  <w:b w:val="false"/>
                  <w:strike w:val="false"/>
                  <w:dstrike w:val="false"/>
                  <w:color w:val="000080"/>
                  <w:sz w:val="18"/>
                  <w:u w:val="single"/>
                  <w:effect w:val="none"/>
                </w:rPr>
                <w:t>hareholder</w:t>
              </w:r>
            </w:hyperlink>
            <w:hyperlink w:anchor="i4a23716667a442c18ca358dd896e1fdb_94">
              <w:r>
                <w:rPr>
                  <w:rStyle w:val="InternetLink"/>
                  <w:rFonts w:ascii="Arial;sans-serif" w:hAnsi="Arial;sans-serif"/>
                  <w:b w:val="false"/>
                  <w:strike w:val="false"/>
                  <w:dstrike w:val="false"/>
                  <w:color w:val="000080"/>
                  <w:sz w:val="18"/>
                  <w:u w:val="single"/>
                  <w:effect w:val="none"/>
                </w:rPr>
                <w:t>s</w:t>
              </w:r>
            </w:hyperlink>
            <w:hyperlink w:anchor="i4a23716667a442c18ca358dd896e1fdb_94">
              <w:r>
                <w:rPr>
                  <w:rStyle w:val="InternetLink"/>
                  <w:rFonts w:ascii="Arial;sans-serif" w:hAnsi="Arial;sans-serif"/>
                  <w:b w:val="false"/>
                  <w:strike w:val="false"/>
                  <w:dstrike w:val="false"/>
                  <w:color w:val="000080"/>
                  <w:sz w:val="18"/>
                  <w:u w:val="single"/>
                  <w:effect w:val="none"/>
                </w:rPr>
                <w:t>’</w:t>
              </w:r>
            </w:hyperlink>
            <w:hyperlink w:anchor="i4a23716667a442c18ca358dd896e1fdb_94">
              <w:r>
                <w:rPr>
                  <w:rStyle w:val="InternetLink"/>
                  <w:rFonts w:ascii="Arial;sans-serif" w:hAnsi="Arial;sans-serif"/>
                  <w:b w:val="false"/>
                  <w:strike w:val="false"/>
                  <w:dstrike w:val="false"/>
                  <w:color w:val="000080"/>
                  <w:sz w:val="18"/>
                  <w:u w:val="single"/>
                  <w:effect w:val="none"/>
                </w:rPr>
                <w:t xml:space="preserve"> Equity</w:t>
              </w:r>
            </w:hyperlink>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94">
              <w:r>
                <w:rPr>
                  <w:rStyle w:val="InternetLink"/>
                  <w:rFonts w:ascii="Arial;sans-serif" w:hAnsi="Arial;sans-serif"/>
                  <w:b w:val="false"/>
                  <w:strike w:val="false"/>
                  <w:dstrike w:val="false"/>
                  <w:color w:val="000000"/>
                  <w:sz w:val="18"/>
                  <w:u w:val="none"/>
                  <w:effect w:val="none"/>
                </w:rPr>
                <w:t>56</w:t>
              </w:r>
            </w:hyperlink>
          </w:p>
        </w:tc>
      </w:tr>
      <w:tr>
        <w:trPr/>
        <w:tc>
          <w:tcPr>
            <w:tcW w:w="96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97">
              <w:r>
                <w:rPr>
                  <w:rStyle w:val="InternetLink"/>
                  <w:rFonts w:ascii="Arial;sans-serif" w:hAnsi="Arial;sans-serif"/>
                  <w:b w:val="false"/>
                  <w:strike w:val="false"/>
                  <w:dstrike w:val="false"/>
                  <w:color w:val="000000"/>
                  <w:sz w:val="18"/>
                  <w:u w:val="none"/>
                  <w:effect w:val="none"/>
                </w:rPr>
                <w:t>Note 11 - Earnings (Loss) Per Share</w:t>
              </w:r>
            </w:hyperlink>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97">
              <w:r>
                <w:rPr>
                  <w:rStyle w:val="InternetLink"/>
                  <w:rFonts w:ascii="Arial;sans-serif" w:hAnsi="Arial;sans-serif"/>
                  <w:b w:val="false"/>
                  <w:strike w:val="false"/>
                  <w:dstrike w:val="false"/>
                  <w:color w:val="000000"/>
                  <w:sz w:val="18"/>
                  <w:u w:val="none"/>
                  <w:effect w:val="none"/>
                </w:rPr>
                <w:t>57</w:t>
              </w:r>
            </w:hyperlink>
          </w:p>
        </w:tc>
      </w:tr>
      <w:tr>
        <w:trPr/>
        <w:tc>
          <w:tcPr>
            <w:tcW w:w="96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100">
              <w:r>
                <w:rPr>
                  <w:rStyle w:val="InternetLink"/>
                  <w:rFonts w:ascii="Arial;sans-serif" w:hAnsi="Arial;sans-serif"/>
                  <w:b w:val="false"/>
                  <w:strike w:val="false"/>
                  <w:dstrike w:val="false"/>
                  <w:color w:val="000000"/>
                  <w:sz w:val="18"/>
                  <w:u w:val="none"/>
                  <w:effect w:val="none"/>
                </w:rPr>
                <w:t>Note 12 - Income Taxes</w:t>
              </w:r>
            </w:hyperlink>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100">
              <w:r>
                <w:rPr>
                  <w:rStyle w:val="InternetLink"/>
                  <w:rFonts w:ascii="Arial;sans-serif" w:hAnsi="Arial;sans-serif"/>
                  <w:b w:val="false"/>
                  <w:strike w:val="false"/>
                  <w:dstrike w:val="false"/>
                  <w:color w:val="000000"/>
                  <w:sz w:val="18"/>
                  <w:u w:val="none"/>
                  <w:effect w:val="none"/>
                </w:rPr>
                <w:t>58</w:t>
              </w:r>
            </w:hyperlink>
          </w:p>
        </w:tc>
      </w:tr>
      <w:tr>
        <w:trPr/>
        <w:tc>
          <w:tcPr>
            <w:tcW w:w="96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109">
              <w:r>
                <w:rPr>
                  <w:rStyle w:val="InternetLink"/>
                  <w:rFonts w:ascii="Arial;sans-serif" w:hAnsi="Arial;sans-serif"/>
                  <w:b w:val="false"/>
                  <w:strike w:val="false"/>
                  <w:dstrike w:val="false"/>
                  <w:color w:val="000000"/>
                  <w:sz w:val="18"/>
                  <w:u w:val="none"/>
                  <w:effect w:val="none"/>
                </w:rPr>
                <w:t>Note 13 - Related Party Transactions</w:t>
              </w:r>
            </w:hyperlink>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109">
              <w:r>
                <w:rPr>
                  <w:rStyle w:val="InternetLink"/>
                  <w:rFonts w:ascii="Arial;sans-serif" w:hAnsi="Arial;sans-serif"/>
                  <w:b w:val="false"/>
                  <w:strike w:val="false"/>
                  <w:dstrike w:val="false"/>
                  <w:color w:val="000000"/>
                  <w:sz w:val="18"/>
                  <w:u w:val="none"/>
                  <w:effect w:val="none"/>
                </w:rPr>
                <w:t>61</w:t>
              </w:r>
            </w:hyperlink>
          </w:p>
        </w:tc>
      </w:tr>
      <w:tr>
        <w:trPr/>
        <w:tc>
          <w:tcPr>
            <w:tcW w:w="96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112">
              <w:r>
                <w:rPr>
                  <w:rStyle w:val="InternetLink"/>
                  <w:rFonts w:ascii="Arial;sans-serif" w:hAnsi="Arial;sans-serif"/>
                  <w:b w:val="false"/>
                  <w:strike w:val="false"/>
                  <w:dstrike w:val="false"/>
                  <w:color w:val="000000"/>
                  <w:sz w:val="18"/>
                  <w:u w:val="none"/>
                  <w:effect w:val="none"/>
                </w:rPr>
                <w:t>Note 14 - Stock-Based Compensation</w:t>
              </w:r>
            </w:hyperlink>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112">
              <w:r>
                <w:rPr>
                  <w:rStyle w:val="InternetLink"/>
                  <w:rFonts w:ascii="Arial;sans-serif" w:hAnsi="Arial;sans-serif"/>
                  <w:b w:val="false"/>
                  <w:strike w:val="false"/>
                  <w:dstrike w:val="false"/>
                  <w:color w:val="000000"/>
                  <w:sz w:val="18"/>
                  <w:u w:val="none"/>
                  <w:effect w:val="none"/>
                </w:rPr>
                <w:t>63</w:t>
              </w:r>
            </w:hyperlink>
          </w:p>
        </w:tc>
      </w:tr>
      <w:tr>
        <w:trPr/>
        <w:tc>
          <w:tcPr>
            <w:tcW w:w="96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127">
              <w:r>
                <w:rPr>
                  <w:rStyle w:val="InternetLink"/>
                  <w:rFonts w:ascii="Arial;sans-serif" w:hAnsi="Arial;sans-serif"/>
                  <w:b w:val="false"/>
                  <w:strike w:val="false"/>
                  <w:dstrike w:val="false"/>
                  <w:color w:val="000000"/>
                  <w:sz w:val="18"/>
                  <w:u w:val="none"/>
                  <w:effect w:val="none"/>
                </w:rPr>
                <w:t>Note 15 - Employee Benefit Plan</w:t>
              </w:r>
            </w:hyperlink>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127">
              <w:r>
                <w:rPr>
                  <w:rStyle w:val="InternetLink"/>
                  <w:rFonts w:ascii="Arial;sans-serif" w:hAnsi="Arial;sans-serif"/>
                  <w:b w:val="false"/>
                  <w:strike w:val="false"/>
                  <w:dstrike w:val="false"/>
                  <w:color w:val="000000"/>
                  <w:sz w:val="18"/>
                  <w:u w:val="none"/>
                  <w:effect w:val="none"/>
                </w:rPr>
                <w:t>64</w:t>
              </w:r>
            </w:hyperlink>
          </w:p>
        </w:tc>
      </w:tr>
      <w:tr>
        <w:trPr/>
        <w:tc>
          <w:tcPr>
            <w:tcW w:w="96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130">
              <w:r>
                <w:rPr>
                  <w:rStyle w:val="InternetLink"/>
                  <w:rFonts w:ascii="Arial;sans-serif" w:hAnsi="Arial;sans-serif"/>
                  <w:b w:val="false"/>
                  <w:strike w:val="false"/>
                  <w:dstrike w:val="false"/>
                  <w:color w:val="000000"/>
                  <w:sz w:val="18"/>
                  <w:u w:val="none"/>
                  <w:effect w:val="none"/>
                </w:rPr>
                <w:t>Note 16 - Segment Information</w:t>
              </w:r>
            </w:hyperlink>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130">
              <w:r>
                <w:rPr>
                  <w:rStyle w:val="InternetLink"/>
                  <w:rFonts w:ascii="Arial;sans-serif" w:hAnsi="Arial;sans-serif"/>
                  <w:b w:val="false"/>
                  <w:strike w:val="false"/>
                  <w:dstrike w:val="false"/>
                  <w:color w:val="000000"/>
                  <w:sz w:val="18"/>
                  <w:u w:val="none"/>
                  <w:effect w:val="none"/>
                </w:rPr>
                <w:t>65</w:t>
              </w:r>
            </w:hyperlink>
          </w:p>
        </w:tc>
      </w:tr>
      <w:tr>
        <w:trPr/>
        <w:tc>
          <w:tcPr>
            <w:tcW w:w="96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133">
              <w:r>
                <w:rPr>
                  <w:rStyle w:val="InternetLink"/>
                  <w:rFonts w:ascii="Arial;sans-serif" w:hAnsi="Arial;sans-serif"/>
                  <w:b w:val="false"/>
                  <w:strike w:val="false"/>
                  <w:dstrike w:val="false"/>
                  <w:color w:val="000000"/>
                  <w:sz w:val="18"/>
                  <w:u w:val="none"/>
                  <w:effect w:val="none"/>
                </w:rPr>
                <w:t>Note 17 - Commitments and Contingencies</w:t>
              </w:r>
            </w:hyperlink>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133">
              <w:r>
                <w:rPr>
                  <w:rStyle w:val="InternetLink"/>
                  <w:rFonts w:ascii="Arial;sans-serif" w:hAnsi="Arial;sans-serif"/>
                  <w:b w:val="false"/>
                  <w:strike w:val="false"/>
                  <w:dstrike w:val="false"/>
                  <w:color w:val="000000"/>
                  <w:sz w:val="18"/>
                  <w:u w:val="none"/>
                  <w:effect w:val="none"/>
                </w:rPr>
                <w:t>66</w:t>
              </w:r>
            </w:hyperlink>
          </w:p>
        </w:tc>
      </w:tr>
      <w:tr>
        <w:trPr/>
        <w:tc>
          <w:tcPr>
            <w:tcW w:w="96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23716667a442c18ca358dd896e1fdb_145">
              <w:r>
                <w:rPr>
                  <w:rStyle w:val="InternetLink"/>
                  <w:rFonts w:ascii="Arial;sans-serif" w:hAnsi="Arial;sans-serif"/>
                  <w:b w:val="false"/>
                  <w:strike w:val="false"/>
                  <w:dstrike w:val="false"/>
                  <w:color w:val="000000"/>
                  <w:sz w:val="18"/>
                  <w:u w:val="none"/>
                  <w:effect w:val="none"/>
                </w:rPr>
                <w:t>Note 18 - Subsequent Events</w:t>
              </w:r>
            </w:hyperlink>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a23716667a442c18ca358dd896e1fdb_145">
              <w:r>
                <w:rPr>
                  <w:rStyle w:val="InternetLink"/>
                  <w:rFonts w:ascii="Arial;sans-serif" w:hAnsi="Arial;sans-serif"/>
                  <w:b w:val="false"/>
                  <w:strike w:val="false"/>
                  <w:dstrike w:val="false"/>
                  <w:color w:val="000000"/>
                  <w:sz w:val="18"/>
                  <w:u w:val="none"/>
                  <w:effect w:val="none"/>
                </w:rPr>
                <w:t>67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Report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Shareholders and Board of Directors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HF Foods Group Inc.</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Las Vegas, Nevada</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Opinion on the Consolidated Financial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have audited the accompanying consolidated balance sheets of HF Foods Group Inc. (the “Company”) as of December 31, 2025 and 2024, the related consolidated statements of operations and comprehensive loss, changes in shareholders’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the years then ended, in conformity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Arial;sans-serif" w:hAnsi="Arial;sans-serif"/>
          <w:b w:val="false"/>
          <w:i/>
          <w:color w:val="000000"/>
          <w:sz w:val="18"/>
        </w:rPr>
        <w:t>Internal Control – Integrated Framework (2013)</w:t>
      </w:r>
      <w:r>
        <w:rPr>
          <w:color w:val="000000"/>
        </w:rPr>
        <w:t xml:space="preserve"> </w:t>
      </w:r>
      <w:r>
        <w:rPr>
          <w:rFonts w:ascii="Arial;sans-serif" w:hAnsi="Arial;sans-serif"/>
          <w:b w:val="false"/>
          <w:color w:val="000000"/>
          <w:sz w:val="18"/>
        </w:rPr>
        <w:t>issued by the Committee of Sponsoring Organizations of the Treadway Commission (COSO) and our report dated March 16, 2026, expressed an adverse opinion thereon.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Basis for Opinion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Critical Audit Matter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they relate.</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Consolidated Financial Statements - Impact of Material Weaknesses on Substantive Audit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disclosed in management’s report on internal control over financial reporting, the Company identified material weaknesses as of December 31, 2025. These material weaknesses included ineffective entity-level controls over control activities and monitoring, and ineffective controls over financial reporting including controls over the recording of revenue and accounts receivable, the review of journal entries, the accounting for new leases, and the impairment analysis of long-lived assets, including the review of underlying data and assumptions for completeness and accuracy.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completeness and accuracy of the consolidated financial statements, including the financial condition, results of operations and cash flows, is dependent on, in part, the Company’s ability to (i) design and maintain effective entity-level controls and (ii) design and maintain effective controls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identified a critical audit matter over the existence and accuracy of (i) revenues and accounts receivable, and (ii) journal entries. Designing the appropriate procedures and evaluating audit evidence to ensure the existence and accuracy of (i) revenue and accounts receivable, and (ii) journal entries, required especially challenging and subjective auditor judgment due to the increased extent of audit effort due to the large volume of transactions.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primary procedures we performed to address this critical audit matter included: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Performing incremental procedures over the existence and accuracy of revenue and accounts receivable by increasing the sample sizes to perform audit procedures.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Expanding the scope of our journal entry testing, to select additional types of journal entries.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 BDO USA, P.C.</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We have served as the Company’s auditor since 2021.</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Troy, Michigan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March 16,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HF Foods Group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Balance Sheets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67"/>
        <w:gridCol w:w="2119"/>
        <w:gridCol w:w="2134"/>
        <w:gridCol w:w="246"/>
        <w:gridCol w:w="982"/>
        <w:gridCol w:w="127"/>
        <w:gridCol w:w="109"/>
        <w:gridCol w:w="109"/>
        <w:gridCol w:w="109"/>
        <w:gridCol w:w="244"/>
        <w:gridCol w:w="977"/>
        <w:gridCol w:w="182"/>
      </w:tblGrid>
      <w:tr>
        <w:trPr/>
        <w:tc>
          <w:tcPr>
            <w:tcW w:w="2867"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ASSETS:</w:t>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14,467 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 net of allowances of $1,199 and $1,557</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65,691 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54,107 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related parties</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106,629 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97,783 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ASSETS</w:t>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194,000</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178,103</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163,397 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149,572 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26,049 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13,944 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investments</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relationships, net</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126,048 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136,615 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Trademarks, trade names and other intangibles, net</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24,911 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38,815 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541,529</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549,991</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SHAREHOLDERS’ EQUITY</w:t>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LIABILITIES:</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Checks issued not presented for payment</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Line of credit</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55,799 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57,483 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74,475 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50,592 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 related parties</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 net</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obligations under finance leases</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obligations under operating leases</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liabilities</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LIABILITIES</w:t>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164,768</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145,199</w:t>
            </w: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 of current portion</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99,436 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103,324 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Obligations under finance leases, non-current</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25,279 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19,929 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Obligations under operating leases, non-current</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22,990 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29,392 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337,943</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308,697</w:t>
            </w: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COMMITMENTS AND CONTINGENCIES (Note 17)</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SHAREHOLDERS’ EQUITY:</w:t>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Series A Participating Preferred Stock, par value $0.001; 100,000 shares authorized, no shares issued and outstanding</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$0.001 par value; 1,000,000 shares authorized; no shares issued and outstanding</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Common Stock, $0.0001 par value; 100,000,000 shares authorized; 55,041,255 and 54,735,073 shares issued and 53,043,832 and 52,737,650 shares outstanding as of December 31, 2025 and December 31, 2024, respectively </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stock, at cost; 1,997,423 shares as of December 31, 2025 and December 31, 2024</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605,838 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604,235 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(396,042)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(357,199)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SHAREHOLDERS’ EQUITY ATTRIBUTABLE TO HF FOODS GROUP INC.</w:t>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202,051</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239,291</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SHAREHOLDERS’ EQUITY</w:t>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203,586</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241,294</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SHAREHOLDERS’ EQUITY</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541,529</w:t>
            </w:r>
            <w:r>
              <w:rPr>
                <w:color w:val="000000"/>
              </w:rPr>
              <w:t>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549,991</w:t>
            </w:r>
            <w:r>
              <w:rPr>
                <w:color w:val="000000"/>
              </w:rPr>
              <w:t>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21030"/>
                <wp:effectExtent l="0" t="0" r="0" b="0"/>
                <wp:wrapNone/>
                <wp:docPr id="38" name="Frame36"/>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HF Foods Group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Operations and Comprehensive Loss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296"/>
        <w:gridCol w:w="1805"/>
        <w:gridCol w:w="1818"/>
        <w:gridCol w:w="109"/>
        <w:gridCol w:w="109"/>
        <w:gridCol w:w="137"/>
        <w:gridCol w:w="137"/>
        <w:gridCol w:w="137"/>
        <w:gridCol w:w="137"/>
        <w:gridCol w:w="265"/>
        <w:gridCol w:w="1229"/>
        <w:gridCol w:w="137"/>
        <w:gridCol w:w="109"/>
        <w:gridCol w:w="109"/>
        <w:gridCol w:w="109"/>
        <w:gridCol w:w="211"/>
        <w:gridCol w:w="976"/>
        <w:gridCol w:w="109"/>
        <w:gridCol w:w="109"/>
        <w:gridCol w:w="157"/>
      </w:tblGrid>
      <w:tr>
        <w:trPr/>
        <w:tc>
          <w:tcPr>
            <w:tcW w:w="2296"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1889" w:type="dxa"/>
            <w:gridSpan w:val="8"/>
            <w:tcBorders/>
          </w:tcPr>
          <w:p>
            <w:pPr>
              <w:pStyle w:val="TableContents"/>
              <w:bidi w:val="0"/>
              <w:spacing w:before="0" w:after="283"/>
              <w:jc w:val="left"/>
              <w:rPr>
                <w:sz w:val="4"/>
                <w:szCs w:val="4"/>
              </w:rPr>
            </w:pPr>
            <w:r>
              <w:rPr>
                <w:sz w:val="4"/>
                <w:szCs w:val="4"/>
              </w:rPr>
            </w:r>
          </w:p>
        </w:tc>
      </w:tr>
      <w:tr>
        <w:trPr/>
        <w:tc>
          <w:tcPr>
            <w:tcW w:w="5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 - third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1,223,793 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 - related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1,228,282</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1,201,667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 - third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1,016,716 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 - related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1,020,706</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996,473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207,576</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205,194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 selling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201,762 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38,815 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(33,001)</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(39,135)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guarantee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(45,281)</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(46,137)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LOSS AND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(39,311)</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(48,102)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(loss)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LOSS AND COMPREHENSIVE LOSS ATTRIBUTABLE TO HF FOODS GROUP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(38,843)</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(48,511)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LOSS PER COMMON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(0.73)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LOSS PER COMMON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(0.73)</w:t>
            </w:r>
          </w:p>
        </w:tc>
        <w:tc>
          <w:tcPr>
            <w:tcW w:w="13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(0.92)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 AVERAGE SHARES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52,946,655</w:t>
            </w:r>
            <w:r>
              <w:rPr>
                <w:color w:val="000000"/>
              </w:rPr>
              <w:t> </w:t>
            </w:r>
          </w:p>
        </w:tc>
        <w:tc>
          <w:tcPr>
            <w:tcW w:w="13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52,552,490</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 AVERAGE SHARES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52,946,655</w:t>
            </w:r>
            <w:r>
              <w:rPr>
                <w:color w:val="000000"/>
              </w:rPr>
              <w:t> </w:t>
            </w:r>
          </w:p>
        </w:tc>
        <w:tc>
          <w:tcPr>
            <w:tcW w:w="1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52,552,490</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21030"/>
                <wp:effectExtent l="0" t="0" r="0" b="0"/>
                <wp:wrapNone/>
                <wp:docPr id="39" name="Frame37"/>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HF Foods Group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Cash Flows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w:t>
      </w:r>
    </w:p>
    <w:tbl>
      <w:tblPr>
        <w:tblW w:w="9672" w:type="dxa"/>
        <w:jc w:val="center"/>
        <w:tblInd w:w="0" w:type="dxa"/>
        <w:tblLayout w:type="fixed"/>
        <w:tblCellMar>
          <w:top w:w="28" w:type="dxa"/>
          <w:left w:w="28" w:type="dxa"/>
          <w:bottom w:w="28" w:type="dxa"/>
          <w:right w:w="28" w:type="dxa"/>
        </w:tblCellMar>
      </w:tblPr>
      <w:tblGrid>
        <w:gridCol w:w="2448"/>
        <w:gridCol w:w="2151"/>
        <w:gridCol w:w="2165"/>
        <w:gridCol w:w="220"/>
        <w:gridCol w:w="830"/>
        <w:gridCol w:w="109"/>
        <w:gridCol w:w="109"/>
        <w:gridCol w:w="109"/>
        <w:gridCol w:w="109"/>
        <w:gridCol w:w="220"/>
        <w:gridCol w:w="830"/>
        <w:gridCol w:w="109"/>
        <w:gridCol w:w="109"/>
        <w:gridCol w:w="154"/>
      </w:tblGrid>
      <w:tr>
        <w:trPr/>
        <w:tc>
          <w:tcPr>
            <w:tcW w:w="2448"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loss</w:t>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(39,311)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(48,102)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Adjustments to reconcile net loss to net cash provided by operating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Goodwill impairment charges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Gain from disposal of property and equipment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Credit for expected credit losses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tax (benefit) expense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 contracts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Non-cash lease expense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Lease guarantee income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non-cash (income) expense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Changes in operating assets and liabilities: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 - related parties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Checks issued not presented for payment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 - related parties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expenses and other liabilities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25,480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22,636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 of property and equipment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 of intangible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sale of property and equipment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Contribution to equity method investee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(20,373)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(12,548)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Payments for tax withholding related to vested stock awards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line of credit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1,446,483 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1,476,106 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Repayment of line of credit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(1,448,100)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(1,477,240)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Proceeds from issuance of debt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Repayment of long-term debt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Payment of debt financing costs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Repayment of obligations under finance leases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distributions to noncontrolling interests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cash used in financing activities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(10,933)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(10,853)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Net decrease in cash</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(5,826)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(765)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at beginning of the period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14,467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15,232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at end of the period</w:t>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8,641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14,467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21030"/>
                <wp:effectExtent l="0" t="0" r="0" b="0"/>
                <wp:wrapNone/>
                <wp:docPr id="40" name="Frame38"/>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HF Foods Group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Cash Flows (Continued)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w:t>
      </w:r>
    </w:p>
    <w:p>
      <w:pPr>
        <w:pStyle w:val="TextBody"/>
        <w:bidi w:val="0"/>
        <w:spacing w:before="0" w:after="0"/>
        <w:jc w:val="center"/>
        <w:rPr/>
      </w:pPr>
      <w:r>
        <w:rPr/>
      </w:r>
    </w:p>
    <w:tbl>
      <w:tblPr>
        <w:tblW w:w="8851" w:type="dxa"/>
        <w:jc w:val="center"/>
        <w:tblInd w:w="0" w:type="dxa"/>
        <w:tblLayout w:type="fixed"/>
        <w:tblCellMar>
          <w:top w:w="28" w:type="dxa"/>
          <w:left w:w="28" w:type="dxa"/>
          <w:bottom w:w="28" w:type="dxa"/>
          <w:right w:w="28" w:type="dxa"/>
        </w:tblCellMar>
      </w:tblPr>
      <w:tblGrid>
        <w:gridCol w:w="2240"/>
        <w:gridCol w:w="1967"/>
        <w:gridCol w:w="1972"/>
        <w:gridCol w:w="211"/>
        <w:gridCol w:w="721"/>
        <w:gridCol w:w="109"/>
        <w:gridCol w:w="109"/>
        <w:gridCol w:w="109"/>
        <w:gridCol w:w="109"/>
        <w:gridCol w:w="211"/>
        <w:gridCol w:w="721"/>
        <w:gridCol w:w="109"/>
        <w:gridCol w:w="109"/>
        <w:gridCol w:w="154"/>
      </w:tblGrid>
      <w:tr>
        <w:trPr/>
        <w:tc>
          <w:tcPr>
            <w:tcW w:w="2240"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Supplemental disclosure of cash flow data:</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paid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Supplemental disclosure of 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Right-of-use assets obtained in exchange for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Property acquired in exchange for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Acquisition of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21030"/>
                <wp:effectExtent l="0" t="0" r="0" b="0"/>
                <wp:wrapNone/>
                <wp:docPr id="41" name="Frame39"/>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HF Foods Group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Changes in Shareholders' Equity</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data)</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3703" w:type="dxa"/>
        <w:jc w:val="center"/>
        <w:tblInd w:w="0" w:type="dxa"/>
        <w:tblLayout w:type="fixed"/>
        <w:tblCellMar>
          <w:top w:w="28" w:type="dxa"/>
          <w:left w:w="28" w:type="dxa"/>
          <w:bottom w:w="28" w:type="dxa"/>
          <w:right w:w="28" w:type="dxa"/>
        </w:tblCellMar>
      </w:tblPr>
      <w:tblGrid>
        <w:gridCol w:w="557"/>
        <w:gridCol w:w="291"/>
        <w:gridCol w:w="293"/>
        <w:gridCol w:w="488"/>
        <w:gridCol w:w="488"/>
        <w:gridCol w:w="216"/>
        <w:gridCol w:w="109"/>
        <w:gridCol w:w="109"/>
        <w:gridCol w:w="109"/>
        <w:gridCol w:w="262"/>
        <w:gridCol w:w="342"/>
        <w:gridCol w:w="147"/>
        <w:gridCol w:w="109"/>
        <w:gridCol w:w="109"/>
        <w:gridCol w:w="109"/>
        <w:gridCol w:w="443"/>
        <w:gridCol w:w="443"/>
        <w:gridCol w:w="216"/>
        <w:gridCol w:w="109"/>
        <w:gridCol w:w="109"/>
        <w:gridCol w:w="109"/>
        <w:gridCol w:w="196"/>
        <w:gridCol w:w="571"/>
        <w:gridCol w:w="109"/>
        <w:gridCol w:w="109"/>
        <w:gridCol w:w="109"/>
        <w:gridCol w:w="109"/>
        <w:gridCol w:w="196"/>
        <w:gridCol w:w="751"/>
        <w:gridCol w:w="109"/>
        <w:gridCol w:w="109"/>
        <w:gridCol w:w="109"/>
        <w:gridCol w:w="109"/>
        <w:gridCol w:w="214"/>
        <w:gridCol w:w="822"/>
        <w:gridCol w:w="120"/>
        <w:gridCol w:w="109"/>
        <w:gridCol w:w="109"/>
        <w:gridCol w:w="109"/>
        <w:gridCol w:w="222"/>
        <w:gridCol w:w="854"/>
        <w:gridCol w:w="125"/>
        <w:gridCol w:w="109"/>
        <w:gridCol w:w="109"/>
        <w:gridCol w:w="109"/>
        <w:gridCol w:w="305"/>
        <w:gridCol w:w="890"/>
        <w:gridCol w:w="171"/>
        <w:gridCol w:w="109"/>
        <w:gridCol w:w="109"/>
        <w:gridCol w:w="109"/>
        <w:gridCol w:w="221"/>
        <w:gridCol w:w="849"/>
        <w:gridCol w:w="176"/>
      </w:tblGrid>
      <w:tr>
        <w:trPr/>
        <w:tc>
          <w:tcPr>
            <w:tcW w:w="55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 Shareholders’</w:t>
              <w:br/>
              <w:t>Equity Attributable to</w:t>
              <w:br/>
              <w:t>HF Foods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br/>
              <w:t>Shareholders’</w:t>
              <w:br/>
              <w:t>Equity</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pPr>
            <w:r>
              <w:rPr>
                <w:rFonts w:ascii="Arial;sans-serif" w:hAnsi="Arial;sans-serif"/>
                <w:b/>
                <w:sz w:val="16"/>
              </w:rPr>
              <w:br/>
            </w: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at December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54,153,391</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1,997,423</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(7,750)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603,094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(308,688)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286,661</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1,322</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287,983</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(48,511)</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(48,511)</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(48,102)</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pursuant to equity compensation plan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638,721 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withheld for tax withholdings on vested awards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(57,039)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Distribution to shareholders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Dissolution of noncontrolling interests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2,088 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at December 31, 2024</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54,735,073</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w:t>
            </w: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1,997,423</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(7,750)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604,235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(357,199)</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239,291</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2,003</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241,294</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(38,843)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(38,843)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(468)</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(39,311)</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pursuant to equity compensation plan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345,378 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withheld for tax withholdings on vested awards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(39,196)</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1,759 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1,759 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at December 31, 2025</w:t>
            </w:r>
          </w:p>
        </w:tc>
        <w:tc>
          <w:tcPr>
            <w:tcW w:w="97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55,041,255</w:t>
            </w:r>
            <w:r>
              <w:rPr>
                <w:color w:val="000000"/>
              </w:rPr>
              <w:t> </w:t>
            </w:r>
          </w:p>
        </w:tc>
        <w:tc>
          <w:tcPr>
            <w:tcW w:w="2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3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w:t>
            </w:r>
            <w:r>
              <w:rPr>
                <w:color w:val="000000"/>
              </w:rPr>
              <w:t> </w:t>
            </w:r>
          </w:p>
        </w:tc>
        <w:tc>
          <w:tcPr>
            <w:tcW w:w="1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1,997,423</w:t>
            </w:r>
            <w:r>
              <w:rPr>
                <w:color w:val="000000"/>
              </w:rPr>
              <w:t> </w:t>
            </w:r>
          </w:p>
        </w:tc>
        <w:tc>
          <w:tcPr>
            <w:tcW w:w="2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(7,750)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605,838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(396,042)</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202,051</w:t>
            </w:r>
            <w:r>
              <w:rPr>
                <w:color w:val="000000"/>
              </w:rPr>
              <w:t> </w:t>
            </w:r>
          </w:p>
        </w:tc>
        <w:tc>
          <w:tcPr>
            <w:tcW w:w="1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1,535</w:t>
            </w: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203,586</w:t>
            </w:r>
            <w:r>
              <w:rPr>
                <w:color w:val="000000"/>
              </w:rPr>
              <w:t>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21030"/>
                <wp:effectExtent l="0" t="0" r="0" b="0"/>
                <wp:wrapNone/>
                <wp:docPr id="42" name="Frame40"/>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HF Foods Group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1 - Organization and Description of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Organization and General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HF Foods Group Inc., headquartered in Las Vegas, Nevada, operating through our subsidiaries (collectively “HF Foods” or the “Company”) is a marketer and distributor of fresh produce, frozen and dry food, and non-food products to Asian restaurants, as well as other foodservice customers, throughout the United States. With multiple distribution centers located throughout the nation, HF Foods supplies Asian cuisine through its relationships with growers and suppliers of food products in North America, South America and Asia. The Company’s business consists of one operating segment, which is also its one reportable segment: HF Foods, which operates solely in the United States, offers specialty restaurant foods and supplies to its customers.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2 - Summary of Significant Accounting Policies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Basis of Presentation and Principles of Consolidation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accompanying consolidated financial statements have been prepared in accordance with generally accepted accounting principles in the United States of America (“GAAP”) and applicable rules and regulations of the U.S. Securities and Exchange Commission (“SEC”).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All significant intercompany balances and transactions have been eliminated in consolidation. For consolidated entities where we own or are exposed to less than 100% of the economics, the Company records net income (loss) attributable to noncontrolling interests in its consolidated statements of operations and comprehensive loss equal to the percentage of the economic or ownership interest retained in such entity by the respective noncontrolling party.</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Variable Interest Entities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GAAP provides guidance on the identification of a variable interest entity (“VIE”) and financial reporting for an entity over which control is achieved through means other than voting interests. The Company evaluates each of its interests in an entity to determine whether or not the investee is a VIE and, if so, whether the Company is the primary beneficiary of such VIE. In determining whether the Company is the primary beneficiary, the Company considers if the Company (1) has power to direct the activities that most significantly affect the economic performance of the VIE, and (2) has the obligation to absorb losses or the right to receive the economic benefits of the VIE that could be potentially significant to the VIE. If deemed the primary beneficiary, the Company consolidates the VIE.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Effective April 30, 2024, the Company assumed the lease for which AnHeart, Inc. (“AnHeart”) was a lessee and the Company was a guarantor, and as such, it discontinued recognizing AnHeart as a VIE for the year ended December 31, 2024. The Company was not the primary beneficiary and therefore did not consolidate AnHeart. See </w:t>
      </w:r>
      <w:r>
        <w:rPr>
          <w:rFonts w:ascii="Arial;sans-serif" w:hAnsi="Arial;sans-serif"/>
          <w:b w:val="false"/>
          <w:i/>
          <w:color w:val="000000"/>
          <w:sz w:val="18"/>
        </w:rPr>
        <w:t xml:space="preserve">Note 17 - Commitments and Contingencies </w:t>
      </w:r>
      <w:r>
        <w:rPr>
          <w:rFonts w:ascii="Arial;sans-serif" w:hAnsi="Arial;sans-serif"/>
          <w:b w:val="false"/>
          <w:color w:val="000000"/>
          <w:sz w:val="18"/>
        </w:rPr>
        <w:t>for additional information on AnHeart.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For the year ended December 31, 2025, the Company had no VIEs.</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Noncontrolling Interests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GAAP requires that noncontrolling interests in subsidiaries and affiliates be reported in the equity section of the Company’s consolidated balance sheets. In addition, the amounts attributable to the net income (loss) of those noncontrolling interests are reported separately in the consolidated statements of operations and comprehensive loss.</w:t>
      </w:r>
    </w:p>
    <w:p>
      <w:pPr>
        <w:pStyle w:val="TextBody"/>
        <w:bidi w:val="0"/>
        <w:spacing w:before="0" w:after="0"/>
        <w:jc w:val="both"/>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As of December 31, 2025 and December 31, 2024, noncontrolling interest equity consisted of the following:</w:t>
      </w:r>
    </w:p>
    <w:tbl>
      <w:tblPr>
        <w:tblW w:w="10205" w:type="dxa"/>
        <w:jc w:val="left"/>
        <w:tblInd w:w="0" w:type="dxa"/>
        <w:tblLayout w:type="fixed"/>
        <w:tblCellMar>
          <w:top w:w="28" w:type="dxa"/>
          <w:left w:w="28" w:type="dxa"/>
          <w:bottom w:w="28" w:type="dxa"/>
          <w:right w:w="28" w:type="dxa"/>
        </w:tblCellMar>
      </w:tblPr>
      <w:tblGrid>
        <w:gridCol w:w="813"/>
        <w:gridCol w:w="716"/>
        <w:gridCol w:w="718"/>
        <w:gridCol w:w="109"/>
        <w:gridCol w:w="109"/>
        <w:gridCol w:w="109"/>
        <w:gridCol w:w="1197"/>
        <w:gridCol w:w="1197"/>
        <w:gridCol w:w="1200"/>
        <w:gridCol w:w="109"/>
        <w:gridCol w:w="109"/>
        <w:gridCol w:w="109"/>
        <w:gridCol w:w="374"/>
        <w:gridCol w:w="1098"/>
        <w:gridCol w:w="195"/>
        <w:gridCol w:w="109"/>
        <w:gridCol w:w="109"/>
        <w:gridCol w:w="109"/>
        <w:gridCol w:w="368"/>
        <w:gridCol w:w="1074"/>
        <w:gridCol w:w="274"/>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22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Ownership of</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noncontrolling interest at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2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6" w:type="dxa"/>
            <w:gridSpan w:val="3"/>
            <w:tcBorders/>
            <w:vAlign w:val="center"/>
          </w:tcPr>
          <w:p>
            <w:pPr>
              <w:pStyle w:val="TableContents"/>
              <w:bidi w:val="0"/>
              <w:spacing w:before="0" w:after="283"/>
              <w:jc w:val="left"/>
              <w:rPr>
                <w:sz w:val="4"/>
                <w:szCs w:val="4"/>
              </w:rPr>
            </w:pPr>
            <w:r>
              <w:rPr>
                <w:sz w:val="4"/>
                <w:szCs w:val="4"/>
              </w:rPr>
            </w:r>
          </w:p>
        </w:tc>
      </w:tr>
      <w:tr>
        <w:trPr/>
        <w:tc>
          <w:tcPr>
            <w:tcW w:w="22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Min Food,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1,561 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Monterey Food Service,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1,535 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2,003 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Uses of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each reporting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Actual results could differ from those estimates. Significant accounting estimates reflected in the Company’s consolidated financial statements include, but are not limited to, inventory reserves, impairment of long-lived assets, and impairment of goodwill.</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Recently Issued Accounting Pronouncements not yet Adopted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November 2024, the FASB issued ASU 2024-03, Income Statement—Reporting Comprehensive Income—Expense Disaggregation Disclosures (Subtopic 220-40): Disaggregation of Income Statement Expenses. The guidance requires additional disclosure of certain amounts included in the expense captions presented on the Statement of Operations as well as disclosures about selling expenses. This guidance is effective on a prospective basis, with the option for retrospective application, for annual periods beginning after December 15, 2026 and interim reporting periods beginning after December 15, 2027. The Company is in the process of assessing the impact the adoption of this guidance will have on the Company’s financial statement disclosures.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July 2025, the FASB issued ASU 2025-05, Measurement of Credit Losses for Accounts Receivable and Contract Assets. This standard amends ASC 326-20 to provide a practical expedient related to the estimation of expected credit losses for current accounts receivable and current contract assets that arise from transactions accounted for under ASC 606. The guidance is effective on a prospective basis for annual reporting periods beginning after December 15, 2025 and interim periods in those annual periods. The Company is in the process of assessing the impact the adoption of this guidance will have on the Company’s financial statement disclosures.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September 2025, the FASB issued ASU 2025-06, Targeted Improvements to the Accounting for Internal-Use Software. This standard is intended to improve the operability and application of guidance related to capitalized software development costs. The guidance becomes effective on a prospective basis, with the option for modified prospective or retrospective application, for all entities for annual reporting periods beginning after December 15, 2027 and interim periods in those annual periods. The Company is in the process of assessing the impact the adoption of this guidance will have on the Company’s financial statement disclosures.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December 2025, the FASB issued ASU 2025-11, Interim Reporting (Topic 270). This new standard clarifies interim reporting guidance, develops a list of disclosures required by other Topics and intends to enhance consistency in interim reporting across entities. The standard allows for early adoption and becomes effective for fiscal years beginning after December 15, 2027, and interim periods within those annual periods. The Company is in the process of assessing the impact the adoption of this guidance will have on the Company’s interim financial statement disclosures.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December 2025, the FASB issued ASU 2025-12, Codification Improvements. This update addresses a broad range of topics including technical corrections, unintended applications of the codifications, clarifications of certain items, and other minor improvements. The ASU is effective for annual and interim reporting periods beginning after December 15, 2026. The Company is in the process of assessing the impact the adoption of this guidance will have on the Company’s financial statement disclosures.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Recently Adopted Accounting Pronouncements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In December 2023, the FASB issued Accounting Standards Update (“ASU”) 2023-09, Income Taxes (Topic 740): Improvements to Income Tax Disclosures, which requires public entities to disclose specific categories in its annual effective tax rate reconciliation and disaggregated information about significant reconciling items by jurisdiction and by nature. This guidance also requires entities to disclose their income tax payments (net of refunds) to international, federal, and state and local jurisdictions. This standard is effective for the Company’s consolidated financial statements for the year ended December 31, 2025. See </w:t>
      </w:r>
      <w:r>
        <w:rPr>
          <w:rFonts w:ascii="Arial;sans-serif" w:hAnsi="Arial;sans-serif"/>
          <w:b w:val="false"/>
          <w:i/>
          <w:color w:val="000000"/>
          <w:sz w:val="18"/>
        </w:rPr>
        <w:t>Note 12 - Income Taxes</w:t>
      </w:r>
      <w:r>
        <w:rPr>
          <w:color w:val="000000"/>
        </w:rPr>
        <w:t xml:space="preserve"> </w:t>
      </w:r>
      <w:r>
        <w:rPr>
          <w:rFonts w:ascii="Arial;sans-serif" w:hAnsi="Arial;sans-serif"/>
          <w:b w:val="false"/>
          <w:color w:val="000000"/>
          <w:sz w:val="18"/>
        </w:rPr>
        <w:t>in the accompanying notes to the consolidated financial statements for further detail.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Cash and Cash Equivalents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The Company considers all highly liquid investments purchased with an original maturity of three months or shorter as cash equivalents. As of December 31, 2025 and December 31, 2024, the Company had no cash equivalents.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Checks issued not presented for payment represent accounts at banks with an aggregate excess of the amount of outstanding checks over the cash balances and are presented in current liabilities in the consolidated balance sheets. The net changes to checks issued not presented for payment are presented in the operating section of the statement of cash flows.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Accounts Receivable, net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Accounts receivable represent amounts due from customers in the ordinary course of business and are recorded at the invoiced amount and do not bear interest. Receivables are presented net of the allowance for expected credit losses in the accompanying consolidated balance sheets. The Company evaluates the collectability of its accounts receivable and determines the appropriate allowance for expected credit losses based on a combination of factors. The Company maintains an allowance for expected credit losses based on historic collection trends, write-offs and the aging of receivables. The Company uses specific criteria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determine uncollectible receivables to be written off, including, bankruptcy filings, the referral of customer accounts to outside parties for collection, and the length that accounts remain past due.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Inventories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Company’s inventories, consisting mainly of food and other foodservice-related products, are considered finished goods. Inventory costs, including the purchase price of the product and freight charges to deliver it to the Company’s warehouses, are net of certain cash consideration received from vendors, primarily in the form of rebates. The Company adjusts its inventory balance for slow-moving, excess and obsolete inventories to the net recoverable value of such goods based upon inventory category, inventory age, specifically identified items, and overall economic conditions. Inventories are stated at the lower of cost or net realizable value using the first-in, first-out (FIFO) method.</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Property and Equipment, net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Property and equipment are stated at cost, less accumulated depreciation and amortization. Depreciation is calculated using the straight-line method over the estimated useful lives of the assets. Following are the estimated useful lives of the Company’s property and equipment:</w:t>
      </w:r>
    </w:p>
    <w:tbl>
      <w:tblPr>
        <w:tblW w:w="4901" w:type="dxa"/>
        <w:jc w:val="left"/>
        <w:tblInd w:w="0" w:type="dxa"/>
        <w:tblLayout w:type="fixed"/>
        <w:tblCellMar>
          <w:top w:w="28" w:type="dxa"/>
          <w:left w:w="28" w:type="dxa"/>
          <w:bottom w:w="28" w:type="dxa"/>
          <w:right w:w="28" w:type="dxa"/>
        </w:tblCellMar>
      </w:tblPr>
      <w:tblGrid>
        <w:gridCol w:w="883"/>
        <w:gridCol w:w="776"/>
        <w:gridCol w:w="785"/>
        <w:gridCol w:w="109"/>
        <w:gridCol w:w="109"/>
        <w:gridCol w:w="109"/>
        <w:gridCol w:w="624"/>
        <w:gridCol w:w="624"/>
        <w:gridCol w:w="882"/>
      </w:tblGrid>
      <w:tr>
        <w:trPr/>
        <w:tc>
          <w:tcPr>
            <w:tcW w:w="88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Estimated Useful Lives</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Automobiles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3 to 7 years</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Buildings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7 to 39 years</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4 to 10 years</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3 to 10 years</w:t>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Leasehold improvements are amortized over the shorter of the useful life of those leasehold improvements or the remaining lease term.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Repair and maintenance costs are charged to expense as incurred, whereas the cost of renewals and betterment that extends the useful lives of property and equipment are capitalized as additions to the related assets. Retirements, sales and disposals of assets are recorded by removing the cost and accumulated depreciation from the asset and accumulated depreciation accounts with any resulting gain or loss reflected in the consolidated statements of operations and comprehensive income loss in distribution, selling and administrative expenses.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Software Costs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In accordance with ASC 350-40, </w:t>
      </w:r>
      <w:r>
        <w:rPr>
          <w:rFonts w:ascii="Arial;sans-serif" w:hAnsi="Arial;sans-serif"/>
          <w:b w:val="false"/>
          <w:i/>
          <w:color w:val="000000"/>
          <w:sz w:val="18"/>
        </w:rPr>
        <w:t xml:space="preserve">Internal-Use Software, </w:t>
      </w:r>
      <w:r>
        <w:rPr>
          <w:rFonts w:ascii="Arial;sans-serif" w:hAnsi="Arial;sans-serif"/>
          <w:b w:val="false"/>
          <w:color w:val="000000"/>
          <w:sz w:val="18"/>
        </w:rPr>
        <w:t>the Company capitalizes certain computer software licenses and software implementation costs related to developing or obtaining computer software for internal use. Subsequent additions, modifications or upgrades to internal-use software are capitalized only to the extent that they allow the software to perform a task that it previously did not perform. Internal use software is amortized on a straight-line basis over a three to five year period. Capitalized costs include direct acquisitions as well as software and software development acquired under capitalized leases and internal labor where appropriate. Capitalized software purchases and related development costs, net of accumulated amortization, were $3.0 million as of December 31, 2025 and $4.1 million as of December 31, 2024, and are included in other long-term assets on the consolidated balance sheets.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Goodwill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Goodwill represents the excess of the purchase price over the fair value of net assets acquired in a business combination. The Company tests goodwill for impairment at least annually, as of December 31, or whenever events or changes in circumstances indicate that goodwill might be impaired.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The Company’s policy is to test goodwill for impairment annually on the last day of the fourth quarter, or more frequently if certain triggering events or circumstances indicate it could be impaired. Potential impairment indicators include (but are not limited to) macroeconomic conditions, industry and market considerations, cost factors, overall financial performance, other relevant entity-specific events, specific events affecting the reporting unit, or sustained decrease in share price. The Company has the option to first assess qualitative factors to determine whether it is more likely than not that the fair value of a reporting unit is less than its carrying value. If, based on a review of qualitative factors, it is more likely than not that the fair value of a reporting unit is less than its carrying value, or at management’s discretion, the Company performs a quantitative analysis. If the quantitative analysis indicates the carrying value of a reporting unit exceeds its fair value, the Company measures any goodwill impairment losses as the amount by which the carrying amount of a reporting unit exceeds its fair value, not to exceed the total amount of goodwill allocated to that reporting unit. As of December 31, 2025 and December 31, 2024, the Company has one reporting unit for purposes of testing goodwill for impairment. See </w:t>
      </w:r>
      <w:r>
        <w:rPr>
          <w:rFonts w:ascii="Arial;sans-serif" w:hAnsi="Arial;sans-serif"/>
          <w:b w:val="false"/>
          <w:i/>
          <w:color w:val="000000"/>
          <w:sz w:val="18"/>
        </w:rPr>
        <w:t xml:space="preserve">Note 7 - Goodwill and Intangible Assets </w:t>
      </w:r>
      <w:r>
        <w:rPr>
          <w:rFonts w:ascii="Arial;sans-serif" w:hAnsi="Arial;sans-serif"/>
          <w:b w:val="false"/>
          <w:color w:val="000000"/>
          <w:sz w:val="18"/>
        </w:rPr>
        <w:t xml:space="preserve">for additional information.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Determining the fair value of a reporting unit requires the application of judgment and involves the use of significant estimates and assumptions including, projections of future cash flows, which include forecasted revenue, discount rate, and other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which can be affected by changes in business climate, economic conditions, the competitive environment and other factors. The Company also considers the use of market approaches, such as the comparable public company analysis and comparable acquisitions analysis, to estimate the fair value of the reporting unit. The Company bases these fair value estimates on assumptions management believes to be reasonable but which are unpredictable and inherently uncertain. A change in underlying assumptions would cause a change in the results of the tests and, as such, could cause fair value to be less than the carrying amount and result in an impairment of goodwill in the future. Additionally, if actual results are not consistent with the estimates and assumptions or if there are significant changes to the Company’s planned strategy, it may cause the fair value of the reporting unit to be less than its carrying amount and result in an impairment of goodwill in the future. The Company corroborates the reasonableness of the total fair value of the reporting unit by assessing the implied control premium based on the Company’s market capitalization. The Company’s market capitalization is calculated using the relevant shares outstanding and stock price of the Company’s publicly traded shares. In the event of a goodwill impairment, the Company would be required to record an impairment, which would impact earnings and reduce the carrying amounts of goodwill on the consolidated balance sheet.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recorded goodwill impairment charges of $38.8 million and $46.3 million during the years ended December 31, 2025 and 2024, respectively. As of December 31, 2025, the Company’s goodwill is fully impaired.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8"/>
        </w:rPr>
        <w:t>Intangible Assets, net</w:t>
      </w:r>
      <w:r>
        <w:rPr>
          <w:color w:val="000000"/>
        </w:rPr>
        <w: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Intangible assets are amortized on a straight-line basis over their estimated useful lives. The Company determines the appropriate useful life of its intangible assets by measuring the expected cash flows of acquired assets. The estimated useful lives of intangible assets are as follows:</w:t>
      </w:r>
    </w:p>
    <w:tbl>
      <w:tblPr>
        <w:tblW w:w="5066" w:type="dxa"/>
        <w:jc w:val="left"/>
        <w:tblInd w:w="0" w:type="dxa"/>
        <w:tblLayout w:type="fixed"/>
        <w:tblCellMar>
          <w:top w:w="28" w:type="dxa"/>
          <w:left w:w="28" w:type="dxa"/>
          <w:bottom w:w="28" w:type="dxa"/>
          <w:right w:w="28" w:type="dxa"/>
        </w:tblCellMar>
      </w:tblPr>
      <w:tblGrid>
        <w:gridCol w:w="945"/>
        <w:gridCol w:w="830"/>
        <w:gridCol w:w="834"/>
        <w:gridCol w:w="109"/>
        <w:gridCol w:w="109"/>
        <w:gridCol w:w="109"/>
        <w:gridCol w:w="624"/>
        <w:gridCol w:w="624"/>
        <w:gridCol w:w="882"/>
      </w:tblGrid>
      <w:tr>
        <w:trPr/>
        <w:tc>
          <w:tcPr>
            <w:tcW w:w="94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Estimated Useful Lives</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Non-competition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 years</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Trademarks and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 years</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 to 20 years</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Inventory management system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7 years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Long-term Investments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Company’s investments in unconsolidated entities consist of an equity investment and an investment without readily determinable fair value.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The Company follows ASC Topic 321 (“ASC 321”), </w:t>
      </w:r>
      <w:r>
        <w:rPr>
          <w:rFonts w:ascii="Arial;sans-serif" w:hAnsi="Arial;sans-serif"/>
          <w:b w:val="false"/>
          <w:i/>
          <w:color w:val="000000"/>
          <w:sz w:val="18"/>
        </w:rPr>
        <w:t>Investments – Equity Securities</w:t>
      </w:r>
      <w:r>
        <w:rPr>
          <w:rFonts w:ascii="Arial;sans-serif" w:hAnsi="Arial;sans-serif"/>
          <w:b w:val="false"/>
          <w:color w:val="000000"/>
          <w:sz w:val="18"/>
        </w:rPr>
        <w:t xml:space="preserve">, using the measurement alternative to measure investments in investees that do not have readily determinable fair value and over which the Company does not have significant influence at cost, less any impairment, plus or minus changes resulting from observable price changes in orderly transactions for identical or similar investments of the same issuer, if any. The Company makes a qualitative assessment of whether the investment is impaired at each reporting date. If a qualitative assessment indicates that the investment is impaired, the Company has to estimate the investment’s fair value in accordance with the principles of ASC Topic 820 (“ASC 820”), </w:t>
      </w:r>
      <w:r>
        <w:rPr>
          <w:rFonts w:ascii="Arial;sans-serif" w:hAnsi="Arial;sans-serif"/>
          <w:b w:val="false"/>
          <w:i/>
          <w:color w:val="000000"/>
          <w:sz w:val="18"/>
        </w:rPr>
        <w:t>Fair Value Measurements and Disclosures.</w:t>
      </w:r>
      <w:r>
        <w:rPr>
          <w:color w:val="000000"/>
        </w:rPr>
        <w:t xml:space="preserve"> </w:t>
      </w:r>
      <w:r>
        <w:rPr>
          <w:rFonts w:ascii="Arial;sans-serif" w:hAnsi="Arial;sans-serif"/>
          <w:b w:val="false"/>
          <w:color w:val="000000"/>
          <w:sz w:val="18"/>
        </w:rPr>
        <w:t>If the fair value is less than the investment’s carrying value, the entity has to recognize an impairment loss in earnings equal to the difference between the carrying value and fair value.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Investments in entities in which the Company can exercise significant influence but does not own a majority equity interest or control are accounted for using the equity method of accounting in accordance with ASC Topic 323 (“ASC 323”), </w:t>
      </w:r>
      <w:r>
        <w:rPr>
          <w:rFonts w:ascii="Arial;sans-serif" w:hAnsi="Arial;sans-serif"/>
          <w:b w:val="false"/>
          <w:i/>
          <w:color w:val="000000"/>
          <w:sz w:val="18"/>
        </w:rPr>
        <w:t>Investments-Equity Method and Joint Ventures</w:t>
      </w:r>
      <w:r>
        <w:rPr>
          <w:rFonts w:ascii="Arial;sans-serif" w:hAnsi="Arial;sans-serif"/>
          <w:b w:val="false"/>
          <w:color w:val="000000"/>
          <w:sz w:val="18"/>
        </w:rPr>
        <w:t xml:space="preserve">. Under the equity method, the Company initially records its investment at cost, which is included in the equity method investment on the consolidated balance sheets. The Company subsequently adjusts the carrying amount of the investment to recognize the Company’s proportionate share of each equity investee’s net income or loss into earnings after the date of investment. The Company evaluates the equity method investments for impairment under ASC 323. An impairment loss on the equity method investments is recognized in earnings when the decline in value is determined to be other-than-temporary.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did not record any impairment loss on its long-term investments during the years ended December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Impairment of Long-lived Assets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assesses its long-lived assets such as property and equipment and intangible assets subject to amortization for impairment whenever events or changes in circumstances indicate the carrying amount of an asset or asset group may not be recoverable. Factors which may indicate potential impairment include a significant underperformance related to the historical or projected future operating results or a significant negative industry or economic trend. Recoverability of an asset or asset group is measured by comparison of its carrying amount to future undiscounted cash flows the asset or asset group is expected to generate. If property and equipment, and intangible assets are considered to be impaired, the impairment to be recognized equals the amount by which the carrying value of the asset or asset group exceeds its fair value. The testing for impairment of long-lived assets occurs prior to any testing related to goodwill. The Company assessed whether the carrying amounts of the Company’s long-lived assets were impaired and determined no events or changes in circumstances indicated that the carrying amounts may not be recoverable.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did not record any impairment loss on its long-lived assets during the years ended December 31, 2025 and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Insurance and Claim Costs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maintains workers compensation and general liability insurance with licensed insurance carriers. Beginning in April 2020, the Company is self-insured for auto claims less than $100,000 per claim. Insurance and claims expense represent premiums the Company paid and the accruals made for claims within the Company’s self-insured retention amounts. A liability is recognized for the estimated cost of all self-insured claims including an estimate of incurred but not reported claims based on historical experience and for claims expected to exceed the Company’s policy limits.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establishes reserves for anticipated losses and expenses related to auto liability claims. The reserves consist of specific reserves for all known claims and an estimate for claims incurred but not reported, and losses arising from known claims ultimately settling in excess of insurance coverage using loss development factors based upon industry data and past experience. In determining the liability, the Company specifically reviews all known claims and records a liability based upon the Company’s best estimate of the amount to be paid. In making the estimate, the Company considers the amount and validity of the claim, as well as the Company’s past experience with similar claims. In establishing the reserve for claims incurred but not reported, the Company considers its past claims history, including the length of time it takes for claims to be reported to the Company. These reserves are periodically reviewed and adjusted to reflect the Company’s experience and updated information relating to specific claims. As of December 31, 2025 and December 31, 2024, the Company has recorded a self-insurance liability of $2.0 million and $1.7 million respectively, which is included in accrued expenses and other liabilities on the consolidated balance sheets.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Revenue Recognition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recognizes revenue from the sale of products when control of each product passes to the customer and the customer accepts the goods, which occurs at delivery. The majority of customer orders are fulfilled within a day and customer payment terms are typically thirty days or less from invoice date. Our 100% satisfaction guarantee permits our customers to reject part of the order or the entire order within twenty-four hours of receipt without any penalty. Sales taxes invoiced to customers and remitted to government authorities are excluded from net sales.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The Company follows ASC Topic 606</w:t>
      </w:r>
      <w:r>
        <w:rPr>
          <w:rFonts w:ascii="Arial;sans-serif" w:hAnsi="Arial;sans-serif"/>
          <w:b w:val="false"/>
          <w:i/>
          <w:color w:val="000000"/>
          <w:sz w:val="18"/>
        </w:rPr>
        <w:t>, Revenue from Contracts with Customers</w:t>
      </w:r>
      <w:r>
        <w:rPr>
          <w:rFonts w:ascii="Arial;sans-serif" w:hAnsi="Arial;sans-serif"/>
          <w:b w:val="false"/>
          <w:color w:val="000000"/>
          <w:sz w:val="18"/>
        </w:rPr>
        <w:t>. The Company recognizes revenue that represents the transfer of goods and services to customers in an amount that reflects the consideration to which the Company expects to be entitled in such exchange. This requires the Company to identify contractual performance obligations and determine whether revenue should be recognized at a point in time or over time, based on when control of goods and services transfer to a customer. The Company’s contracts contain performance obligations which are satisfied when customers have physical possession of each product. The Company’s revenue streams are recognized at a specific point in time.</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Cost of Revenue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Cost of revenue primarily includes inventory costs (net of vendor consideration, primarily in the form of rebates), inbound freight, customs clearance fees, tariffs and other miscellaneous expenses.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Distribution, Selling and Administrative Expenses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Distribution, selling and administrative expenses consist primarily of salaries and benefits for employees and contract laborers, trucking and fuel expenses for deliveries, utilities, maintenance and repair expenses, insurance expenses, depreciation and amortization expenses, selling and marketing expenses, professional fees and other operating expenses.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Shipping and Handling Costs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rPr>
        <w:t>Shipping and handling costs, which include costs related to the selection of products and their delivery to customers, are included in distribution, selling and administrative expenses. Shipping and handling costs were</w:t>
      </w:r>
      <w:r>
        <w:rPr>
          <w:color w:val="EE2724"/>
        </w:rPr>
        <w:t xml:space="preserve"> </w:t>
      </w:r>
      <w:r>
        <w:rPr>
          <w:rFonts w:ascii="Arial;sans-serif" w:hAnsi="Arial;sans-serif"/>
          <w:b w:val="false"/>
          <w:color w:val="000000"/>
          <w:sz w:val="18"/>
        </w:rPr>
        <w:t>$67.6 million and $69.2 million for the years ended December 31, 2025 and 2024, respectively, and includes estimates for labor associated with shipping and handling activities for the years ended December 31, 2025 and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Income Taxes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accounts for income taxes under the asset and liability method, which requires the recognition of deferred tax assets and liabilities for the expected future tax consequences of events that have been included in the financial statements. Under this method, the Company determines deferred tax assets and liabilities based on the differences between the financial statement and tax basis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A valuation allowance is provided when it is more likely than not that some portion or all of the net deferred tax assets will not be realized.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The Company records uncertain tax positions in accordance with ASC Topic 740, </w:t>
      </w:r>
      <w:r>
        <w:rPr>
          <w:rFonts w:ascii="Arial;sans-serif" w:hAnsi="Arial;sans-serif"/>
          <w:b w:val="false"/>
          <w:i/>
          <w:color w:val="000000"/>
          <w:sz w:val="18"/>
        </w:rPr>
        <w:t xml:space="preserve">Income Taxes </w:t>
      </w:r>
      <w:r>
        <w:rPr>
          <w:rFonts w:ascii="Arial;sans-serif" w:hAnsi="Arial;sans-serif"/>
          <w:b w:val="false"/>
          <w:color w:val="000000"/>
          <w:sz w:val="18"/>
        </w:rPr>
        <w:t xml:space="preserve">(“ASC 740”), on the basis of a two-step process in which (1) the Company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 See </w:t>
      </w:r>
      <w:r>
        <w:rPr>
          <w:rFonts w:ascii="Arial;sans-serif" w:hAnsi="Arial;sans-serif"/>
          <w:b w:val="false"/>
          <w:i/>
          <w:color w:val="000000"/>
          <w:sz w:val="18"/>
        </w:rPr>
        <w:t>Note 12 - Income Taxes</w:t>
      </w:r>
      <w:r>
        <w:rPr>
          <w:color w:val="000000"/>
        </w:rPr>
        <w:t xml:space="preserve"> </w:t>
      </w:r>
      <w:r>
        <w:rPr>
          <w:rFonts w:ascii="Arial;sans-serif" w:hAnsi="Arial;sans-serif"/>
          <w:b w:val="false"/>
          <w:color w:val="000000"/>
          <w:sz w:val="18"/>
        </w:rPr>
        <w:t>for additional information.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One Big Beautiful Bill Act (“OBBBA”) was signed into law on July 4, 2025. The OBBBA includes a broad range of tax reform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adopted the tax provisions in the current period when the provisions were signed into law.</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Leases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The Company accounts for leases following ASC Topic 842, </w:t>
      </w:r>
      <w:r>
        <w:rPr>
          <w:rFonts w:ascii="Arial;sans-serif" w:hAnsi="Arial;sans-serif"/>
          <w:b w:val="false"/>
          <w:i/>
          <w:color w:val="000000"/>
          <w:sz w:val="18"/>
        </w:rPr>
        <w:t>Leases</w:t>
      </w:r>
      <w:r>
        <w:rPr>
          <w:color w:val="000000"/>
        </w:rPr>
        <w:t xml:space="preserve"> </w:t>
      </w:r>
      <w:r>
        <w:rPr>
          <w:rFonts w:ascii="Arial;sans-serif" w:hAnsi="Arial;sans-serif"/>
          <w:b w:val="false"/>
          <w:color w:val="000000"/>
          <w:sz w:val="18"/>
        </w:rPr>
        <w:t>(“ASC 842”). The Company determines if an arrangement is a lease at inception and also considers classification of leases as operating or finance. Operating leases are included in operating lease ROU assets, current portion of obligations under operating leases, and obligations under operating leases, non-current on the Company’s consolidated balance sheets. Finance leases are included in property and equipment, net, current portion of obligations under finance leases, and obligations under finance leases, non-current on the consolidated balance sheets.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Operating lease ROU assets and operating lease liabilities are recognized based on the present value of the future minimum lease payments over the lease term at commencement date. As most of the Company’s leases do not provide an implicit rate, the Company uses its incremental borrowing rate based on the information available at commencement date in determining the present value of future payments. The operating lease ROU asset also includes any lease payments made and initial direct costs incurred and excludes lease incentives. The Company’s lease terms may include options to extend or terminate the lease when it is reasonably certain that the Company will exercise that option. Lease expense for minimum lease payments is recognized on a straight-line basis over the lease term. Variable rent payments related to both operating and finance leases are expensed as incurred. The Company's variable lease payments primarily consist of real estate, maintenance and usage charges.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has elected to exclude short-term leases from the recognition requirements of ASC 842. A lease is short-term if, at the commencement date, it has a term of less than or equal to one year. Lease expense related to short-term leases is recognized on a straight-line basis over the lease term. The Company has also elected to combine lease and non-lease components when measuring lease liabilities for vehicle and equipment leases.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shd w:fill="FFFFFF" w:val="clear"/>
        </w:rPr>
      </w:pPr>
      <w:r>
        <w:rPr>
          <w:rFonts w:ascii="Arial;sans-serif" w:hAnsi="Arial;sans-serif"/>
          <w:b/>
          <w:i/>
          <w:color w:val="000000"/>
          <w:sz w:val="18"/>
          <w:shd w:fill="FFFFFF" w:val="clear"/>
        </w:rPr>
        <w:t>Derivative Financial Instruments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shd w:fill="FFFFFF" w:val="clear"/>
        </w:rPr>
        <w:t xml:space="preserve">In accordance with the guidance in ASC Topic 815, </w:t>
      </w:r>
      <w:r>
        <w:rPr>
          <w:rFonts w:ascii="Arial;sans-serif" w:hAnsi="Arial;sans-serif"/>
          <w:b w:val="false"/>
          <w:i/>
          <w:color w:val="000000"/>
          <w:sz w:val="18"/>
          <w:shd w:fill="FFFFFF" w:val="clear"/>
        </w:rPr>
        <w:t xml:space="preserve">Derivatives and Hedging </w:t>
      </w:r>
      <w:r>
        <w:rPr>
          <w:rFonts w:ascii="Arial;sans-serif" w:hAnsi="Arial;sans-serif"/>
          <w:b w:val="false"/>
          <w:color w:val="000000"/>
          <w:sz w:val="18"/>
          <w:shd w:fill="FFFFFF" w:val="clear"/>
        </w:rPr>
        <w:t>(“ASC 815”)</w:t>
      </w:r>
      <w:r>
        <w:rPr>
          <w:rFonts w:ascii="Arial;sans-serif" w:hAnsi="Arial;sans-serif"/>
          <w:b w:val="false"/>
          <w:i/>
          <w:color w:val="000000"/>
          <w:sz w:val="18"/>
          <w:shd w:fill="FFFFFF" w:val="clear"/>
        </w:rPr>
        <w:t>,</w:t>
      </w:r>
      <w:r>
        <w:rPr>
          <w:color w:val="000000"/>
          <w:shd w:fill="FFFFFF" w:val="clear"/>
        </w:rPr>
        <w:t xml:space="preserve"> </w:t>
      </w:r>
      <w:r>
        <w:rPr>
          <w:rFonts w:ascii="Arial;sans-serif" w:hAnsi="Arial;sans-serif"/>
          <w:b w:val="false"/>
          <w:color w:val="000000"/>
          <w:sz w:val="18"/>
          <w:shd w:fill="FFFFFF" w:val="clear"/>
        </w:rPr>
        <w:t>d</w:t>
      </w:r>
      <w:r>
        <w:rPr>
          <w:rFonts w:ascii="Arial;sans-serif" w:hAnsi="Arial;sans-serif"/>
          <w:b w:val="false"/>
          <w:color w:val="000000"/>
          <w:sz w:val="18"/>
        </w:rPr>
        <w:t xml:space="preserve">erivative financial instruments are recognized as assets or liabilities on the consolidated balance sheets at fair value. The Company has not designated its interest rate swap (“IRS”) contracts as hedges for accounting treatment. Pursuant to GAAP, income or loss from fair value changes for derivatives that are not designated as hedges by management are reflected as income or loss on the consolidated statements of operations and comprehensive loss. Net amounts received or paid under the interest rate swap contracts are recognized as an increase or decrease to interest expense when such amounts are incurred. The Company is exposed to credit loss in the event of nonperformance by the counterparty.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Concentrations and Credit Risk</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had no customers that comprised more than 10% of consolidated net sales for the years ended December 31, 2025 or 2024, respectively. At December 31, 2025 and 2024, the Company had no customers that comprised more than 10% of consolidated accounts receivable. Accounts receivable are typically unsecured and derived from revenue earned from customers, and thereby exposed to credit risk. The risk is mitigated by the Company’s large customer base and ongoing assessments of its customers’ creditworthiness and outstanding balances.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maintains cash balances with banks which at times exceed federally insured limits. The Company has not experienced any losses in such accounts.</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Segment Reporting</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rPr>
        <w:t xml:space="preserve">ASC Topic 280, </w:t>
      </w:r>
      <w:r>
        <w:rPr>
          <w:rFonts w:ascii="Arial;sans-serif" w:hAnsi="Arial;sans-serif"/>
          <w:b w:val="false"/>
          <w:i/>
          <w:color w:val="000000"/>
          <w:sz w:val="18"/>
        </w:rPr>
        <w:t>Segment Reporting,</w:t>
      </w:r>
      <w:r>
        <w:rPr>
          <w:color w:val="000000"/>
        </w:rPr>
        <w:t xml:space="preserve"> </w:t>
      </w:r>
      <w:r>
        <w:rPr>
          <w:rFonts w:ascii="Arial;sans-serif" w:hAnsi="Arial;sans-serif"/>
          <w:b w:val="false"/>
          <w:color w:val="000000"/>
          <w:sz w:val="18"/>
        </w:rPr>
        <w:t xml:space="preserve">establishes standards for reporting information about operating segments on a basis consistent with the Company’s internal organizational structure as well as information about geographical areas, business segments and major customers in financial statements for details on the Company’s business segments. The Company uses the “management approach” in determining reportable operating segments. The management approach considers the internal organization and reporting used by the Company’s operating decision makers for making operational decisions and assessing performance as the source for determining the Company’s reportable segments. The Company’s chief operating decision maker (“CODM”) is its chief executive officer, who reviews operating results and makes resource allocations on a consolidated basis and thus the Company has concluded it has one operating and reportable segment. See </w:t>
      </w:r>
      <w:r>
        <w:rPr>
          <w:rFonts w:ascii="Arial;sans-serif" w:hAnsi="Arial;sans-serif"/>
          <w:b w:val="false"/>
          <w:i/>
          <w:color w:val="000000"/>
          <w:sz w:val="18"/>
        </w:rPr>
        <w:t>Note 16 - Segment Information</w:t>
      </w:r>
      <w:r>
        <w:rPr>
          <w:color w:val="000000"/>
        </w:rPr>
        <w:t xml:space="preserve"> </w:t>
      </w:r>
      <w:r>
        <w:rPr>
          <w:rFonts w:ascii="Arial;sans-serif" w:hAnsi="Arial;sans-serif"/>
          <w:b w:val="false"/>
          <w:color w:val="000000"/>
          <w:sz w:val="18"/>
        </w:rPr>
        <w:t>in the accompanying notes to the consolidated financial statements for further detail.</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Stock-Based Compensation</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rPr>
        <w:t xml:space="preserve">The Company grants restricted stock units (“RSUs”) and performance-based restricted stock units (“PSUs”) annually. Stock-based compensation expense is based on the fair value of the stock awards at the grant date and is recognized, net of forfeitures, over the requisite service period. See </w:t>
      </w:r>
      <w:r>
        <w:rPr>
          <w:rFonts w:ascii="Arial;sans-serif" w:hAnsi="Arial;sans-serif"/>
          <w:b w:val="false"/>
          <w:i/>
          <w:color w:val="000000"/>
          <w:sz w:val="18"/>
        </w:rPr>
        <w:t>Note 14 - Stock-Based Compensation</w:t>
      </w:r>
      <w:r>
        <w:rPr>
          <w:color w:val="000000"/>
        </w:rPr>
        <w:t xml:space="preserve"> </w:t>
      </w:r>
      <w:r>
        <w:rPr>
          <w:rFonts w:ascii="Arial;sans-serif" w:hAnsi="Arial;sans-serif"/>
          <w:b w:val="false"/>
          <w:color w:val="000000"/>
          <w:sz w:val="18"/>
        </w:rPr>
        <w:t>to the consolidated financial statements for further information regarding stock-based compensation.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3 - Revenue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presents the Company’s net revenue disaggregated by principal product categories:</w:t>
      </w:r>
    </w:p>
    <w:p>
      <w:pPr>
        <w:pStyle w:val="TextBody"/>
        <w:bidi w:val="0"/>
        <w:spacing w:before="0" w:after="0"/>
        <w:jc w:val="left"/>
        <w:rPr/>
      </w:pPr>
      <w:r>
        <w:rPr/>
      </w:r>
    </w:p>
    <w:p>
      <w:pPr>
        <w:pStyle w:val="TextBody"/>
        <w:bidi w:val="0"/>
        <w:spacing w:before="0" w:after="0"/>
        <w:jc w:val="left"/>
        <w:rPr/>
      </w:pPr>
      <w:r>
        <w:rPr/>
      </w:r>
    </w:p>
    <w:tbl>
      <w:tblPr>
        <w:tblW w:w="8873" w:type="dxa"/>
        <w:jc w:val="left"/>
        <w:tblInd w:w="0" w:type="dxa"/>
        <w:tblLayout w:type="fixed"/>
        <w:tblCellMar>
          <w:top w:w="28" w:type="dxa"/>
          <w:left w:w="28" w:type="dxa"/>
          <w:bottom w:w="28" w:type="dxa"/>
          <w:right w:w="28" w:type="dxa"/>
        </w:tblCellMar>
      </w:tblPr>
      <w:tblGrid>
        <w:gridCol w:w="667"/>
        <w:gridCol w:w="588"/>
        <w:gridCol w:w="589"/>
        <w:gridCol w:w="109"/>
        <w:gridCol w:w="109"/>
        <w:gridCol w:w="109"/>
        <w:gridCol w:w="130"/>
        <w:gridCol w:w="130"/>
        <w:gridCol w:w="175"/>
        <w:gridCol w:w="175"/>
        <w:gridCol w:w="176"/>
        <w:gridCol w:w="130"/>
        <w:gridCol w:w="253"/>
        <w:gridCol w:w="1171"/>
        <w:gridCol w:w="130"/>
        <w:gridCol w:w="109"/>
        <w:gridCol w:w="109"/>
        <w:gridCol w:w="109"/>
        <w:gridCol w:w="232"/>
        <w:gridCol w:w="234"/>
        <w:gridCol w:w="271"/>
        <w:gridCol w:w="109"/>
        <w:gridCol w:w="109"/>
        <w:gridCol w:w="109"/>
        <w:gridCol w:w="211"/>
        <w:gridCol w:w="976"/>
        <w:gridCol w:w="109"/>
        <w:gridCol w:w="109"/>
        <w:gridCol w:w="109"/>
        <w:gridCol w:w="109"/>
        <w:gridCol w:w="232"/>
        <w:gridCol w:w="234"/>
        <w:gridCol w:w="271"/>
        <w:gridCol w:w="10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4232" w:type="dxa"/>
            <w:gridSpan w:val="22"/>
            <w:tcBorders/>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1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5" w:type="dxa"/>
            <w:gridSpan w:val="10"/>
            <w:tcBorders/>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Seafood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436,630 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Meat and Poultry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270,584 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Asian Specialty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226,268 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Commodity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123,831 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Produce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113,263 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Packaging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1,228,282 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1,201,667 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4 - Balance Sheet Components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Accounts receivable, net consisted of the following:</w:t>
      </w:r>
    </w:p>
    <w:p>
      <w:pPr>
        <w:pStyle w:val="TextBody"/>
        <w:bidi w:val="0"/>
        <w:spacing w:before="0" w:after="0"/>
        <w:jc w:val="left"/>
        <w:rPr/>
      </w:pPr>
      <w:r>
        <w:rPr/>
      </w:r>
    </w:p>
    <w:tbl>
      <w:tblPr>
        <w:tblW w:w="7465" w:type="dxa"/>
        <w:jc w:val="left"/>
        <w:tblInd w:w="0" w:type="dxa"/>
        <w:tblLayout w:type="fixed"/>
        <w:tblCellMar>
          <w:top w:w="28" w:type="dxa"/>
          <w:left w:w="28" w:type="dxa"/>
          <w:bottom w:w="28" w:type="dxa"/>
          <w:right w:w="28" w:type="dxa"/>
        </w:tblCellMar>
      </w:tblPr>
      <w:tblGrid>
        <w:gridCol w:w="1285"/>
        <w:gridCol w:w="1133"/>
        <w:gridCol w:w="1137"/>
        <w:gridCol w:w="358"/>
        <w:gridCol w:w="1226"/>
        <w:gridCol w:w="185"/>
        <w:gridCol w:w="109"/>
        <w:gridCol w:w="109"/>
        <w:gridCol w:w="109"/>
        <w:gridCol w:w="352"/>
        <w:gridCol w:w="1205"/>
        <w:gridCol w:w="257"/>
      </w:tblGrid>
      <w:tr>
        <w:trPr/>
        <w:tc>
          <w:tcPr>
            <w:tcW w:w="128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66,890 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55,664 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allowance for expected credit losses</w:t>
            </w:r>
          </w:p>
        </w:tc>
        <w:tc>
          <w:tcPr>
            <w:tcW w:w="15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(1,199)</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(1,557)</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65,691 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54,107 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beginning balance of accounts receivable as of January 1, 2024 was $49.6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Movement of allowance for expected credit losses was as follows:</w:t>
      </w:r>
    </w:p>
    <w:p>
      <w:pPr>
        <w:pStyle w:val="TextBody"/>
        <w:bidi w:val="0"/>
        <w:spacing w:before="0" w:after="0"/>
        <w:jc w:val="left"/>
        <w:rPr/>
      </w:pPr>
      <w:r>
        <w:rPr/>
      </w:r>
    </w:p>
    <w:tbl>
      <w:tblPr>
        <w:tblW w:w="5548" w:type="dxa"/>
        <w:jc w:val="left"/>
        <w:tblInd w:w="0" w:type="dxa"/>
        <w:tblLayout w:type="fixed"/>
        <w:tblCellMar>
          <w:top w:w="28" w:type="dxa"/>
          <w:left w:w="28" w:type="dxa"/>
          <w:bottom w:w="28" w:type="dxa"/>
          <w:right w:w="28" w:type="dxa"/>
        </w:tblCellMar>
      </w:tblPr>
      <w:tblGrid>
        <w:gridCol w:w="987"/>
        <w:gridCol w:w="870"/>
        <w:gridCol w:w="872"/>
        <w:gridCol w:w="224"/>
        <w:gridCol w:w="655"/>
        <w:gridCol w:w="116"/>
        <w:gridCol w:w="116"/>
        <w:gridCol w:w="116"/>
        <w:gridCol w:w="116"/>
        <w:gridCol w:w="224"/>
        <w:gridCol w:w="655"/>
        <w:gridCol w:w="116"/>
        <w:gridCol w:w="109"/>
        <w:gridCol w:w="109"/>
        <w:gridCol w:w="109"/>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481" w:type="dxa"/>
            <w:gridSpan w:val="4"/>
            <w:tcBorders/>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Beginning balance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2,119 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Credit for expected credit losses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Bad debt write-offs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Prepaid expenses and other current assets consisted of the following:</w:t>
      </w:r>
    </w:p>
    <w:p>
      <w:pPr>
        <w:pStyle w:val="TextBody"/>
        <w:bidi w:val="0"/>
        <w:spacing w:before="0" w:after="0"/>
        <w:jc w:val="left"/>
        <w:rPr/>
      </w:pPr>
      <w:r>
        <w:rPr/>
      </w:r>
    </w:p>
    <w:tbl>
      <w:tblPr>
        <w:tblW w:w="7525" w:type="dxa"/>
        <w:jc w:val="left"/>
        <w:tblInd w:w="0" w:type="dxa"/>
        <w:tblLayout w:type="fixed"/>
        <w:tblCellMar>
          <w:top w:w="28" w:type="dxa"/>
          <w:left w:w="28" w:type="dxa"/>
          <w:bottom w:w="28" w:type="dxa"/>
          <w:right w:w="28" w:type="dxa"/>
        </w:tblCellMar>
      </w:tblPr>
      <w:tblGrid>
        <w:gridCol w:w="1307"/>
        <w:gridCol w:w="1152"/>
        <w:gridCol w:w="1156"/>
        <w:gridCol w:w="397"/>
        <w:gridCol w:w="1165"/>
        <w:gridCol w:w="207"/>
        <w:gridCol w:w="109"/>
        <w:gridCol w:w="109"/>
        <w:gridCol w:w="109"/>
        <w:gridCol w:w="352"/>
        <w:gridCol w:w="1205"/>
        <w:gridCol w:w="257"/>
      </w:tblGrid>
      <w:tr>
        <w:trPr/>
        <w:tc>
          <w:tcPr>
            <w:tcW w:w="130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 expenses</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5,641 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4,443 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Advances to suppliers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5,606 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2,570 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1,458 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9,725 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11,507 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Assets held for sale consisted of the following:</w:t>
      </w:r>
    </w:p>
    <w:p>
      <w:pPr>
        <w:pStyle w:val="TextBody"/>
        <w:bidi w:val="0"/>
        <w:spacing w:before="0" w:after="0"/>
        <w:jc w:val="both"/>
        <w:rPr/>
      </w:pPr>
      <w:r>
        <w:rPr/>
      </w:r>
    </w:p>
    <w:tbl>
      <w:tblPr>
        <w:tblW w:w="5619" w:type="dxa"/>
        <w:jc w:val="left"/>
        <w:tblInd w:w="0" w:type="dxa"/>
        <w:tblLayout w:type="fixed"/>
        <w:tblCellMar>
          <w:top w:w="28" w:type="dxa"/>
          <w:left w:w="28" w:type="dxa"/>
          <w:bottom w:w="28" w:type="dxa"/>
          <w:right w:w="28" w:type="dxa"/>
        </w:tblCellMar>
      </w:tblPr>
      <w:tblGrid>
        <w:gridCol w:w="618"/>
        <w:gridCol w:w="545"/>
        <w:gridCol w:w="546"/>
        <w:gridCol w:w="397"/>
        <w:gridCol w:w="1165"/>
        <w:gridCol w:w="207"/>
        <w:gridCol w:w="109"/>
        <w:gridCol w:w="109"/>
        <w:gridCol w:w="109"/>
        <w:gridCol w:w="495"/>
        <w:gridCol w:w="955"/>
        <w:gridCol w:w="364"/>
      </w:tblGrid>
      <w:tr>
        <w:trPr/>
        <w:tc>
          <w:tcPr>
            <w:tcW w:w="61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Buildings</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Land</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2,768 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In 2025, the Company approved a plan to sell land and a building it owned in Utah. The Company engaged a firm to market the location for sale and solicited multiple offers on the property. On October 17, 2025, the Company executed a sale agreement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rPr>
        <w:t xml:space="preserve">the assets and subsequently determined that the assets met the accounting requirements to be classified as held for sale as of December 31, 2025. The Company closed on the sale of the land and building on February 12, 2026. For additional information regarding the sale see </w:t>
      </w:r>
      <w:r>
        <w:rPr>
          <w:rFonts w:ascii="Arial;sans-serif" w:hAnsi="Arial;sans-serif"/>
          <w:b w:val="false"/>
          <w:i/>
          <w:color w:val="000000"/>
          <w:sz w:val="18"/>
        </w:rPr>
        <w:t>Note 18 - Subsequent Events</w:t>
      </w:r>
      <w:r>
        <w:rPr>
          <w:rFonts w:ascii="Arial;sans-serif" w:hAnsi="Arial;sans-serif"/>
          <w:b w:val="false"/>
          <w:color w:val="000000"/>
          <w:sz w:val="18"/>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Property and equipment, net consisted of the following:</w:t>
      </w:r>
    </w:p>
    <w:p>
      <w:pPr>
        <w:pStyle w:val="TextBody"/>
        <w:bidi w:val="0"/>
        <w:spacing w:before="0" w:after="0"/>
        <w:jc w:val="both"/>
        <w:rPr/>
      </w:pPr>
      <w:r>
        <w:rPr/>
      </w:r>
    </w:p>
    <w:tbl>
      <w:tblPr>
        <w:tblW w:w="6626" w:type="dxa"/>
        <w:jc w:val="left"/>
        <w:tblInd w:w="0" w:type="dxa"/>
        <w:tblLayout w:type="fixed"/>
        <w:tblCellMar>
          <w:top w:w="28" w:type="dxa"/>
          <w:left w:w="28" w:type="dxa"/>
          <w:bottom w:w="28" w:type="dxa"/>
          <w:right w:w="28" w:type="dxa"/>
        </w:tblCellMar>
      </w:tblPr>
      <w:tblGrid>
        <w:gridCol w:w="981"/>
        <w:gridCol w:w="865"/>
        <w:gridCol w:w="869"/>
        <w:gridCol w:w="326"/>
        <w:gridCol w:w="1276"/>
        <w:gridCol w:w="168"/>
        <w:gridCol w:w="109"/>
        <w:gridCol w:w="109"/>
        <w:gridCol w:w="109"/>
        <w:gridCol w:w="321"/>
        <w:gridCol w:w="1259"/>
        <w:gridCol w:w="234"/>
      </w:tblGrid>
      <w:tr>
        <w:trPr/>
        <w:tc>
          <w:tcPr>
            <w:tcW w:w="98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Automobiles </w:t>
            </w:r>
            <w:r>
              <w:rPr>
                <w:rFonts w:ascii="Arial;sans-serif" w:hAnsi="Arial;sans-serif"/>
                <w:b w:val="false"/>
                <w:color w:val="000000"/>
                <w:sz w:val="12"/>
              </w:rPr>
              <w:t>(1)</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65,202 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50,565 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Buildings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60,648 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63,045 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Building improvements </w:t>
            </w:r>
            <w:r>
              <w:rPr>
                <w:rFonts w:ascii="Arial;sans-serif" w:hAnsi="Arial;sans-serif"/>
                <w:b w:val="false"/>
                <w:color w:val="000000"/>
                <w:sz w:val="12"/>
              </w:rPr>
              <w:t>(1)</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41,182 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22,709 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Furniture and fixtures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Land</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49,180 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49,929 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Machinery and equipment </w:t>
            </w:r>
            <w:r>
              <w:rPr>
                <w:rFonts w:ascii="Arial;sans-serif" w:hAnsi="Arial;sans-serif"/>
                <w:b w:val="false"/>
                <w:color w:val="000000"/>
                <w:sz w:val="12"/>
              </w:rPr>
              <w:t>(1)</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13,216 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Construction in progress </w:t>
            </w:r>
            <w:r>
              <w:rPr>
                <w:rFonts w:ascii="Arial;sans-serif" w:hAnsi="Arial;sans-serif"/>
                <w:b w:val="false"/>
                <w:color w:val="000000"/>
                <w:sz w:val="12"/>
              </w:rPr>
              <w:t>(2)</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2,493 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10,370 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Subtotal</w:t>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233,694 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210,232 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(70,297)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(60,660)</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163,397 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149,572 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_________________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    The cost and accumulated depreciation of property and equipment related to finance leases was $50.0 million and $21.1 million, respectively, at December 31, 2025 and $36.1 million and $14.3 million, respectively, at December 31, 2024. The total future minimum lease payments under all finance leases as of December 31, 2025 is $43.7 million.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    Included in construction in progress at December 31, 2024 was $4.0 million related to the Inventory Management System prior to it being placed in service in 2025. When the Company placed the Inventory Management System in service in 2025, it reclassified the amount out of construction in progress to Intangible Assets.</w:t>
      </w:r>
    </w:p>
    <w:p>
      <w:pPr>
        <w:pStyle w:val="TextBody"/>
        <w:bidi w:val="0"/>
        <w:spacing w:before="0" w:after="0"/>
        <w:ind w:left="0" w:right="0" w:hanging="36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Depreciation expense was $12.7 million and $10.4 million for the years ended December 31, 2025 and 2024,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Long-term investments consisted of the following:</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96"/>
        <w:gridCol w:w="1132"/>
        <w:gridCol w:w="1135"/>
        <w:gridCol w:w="851"/>
        <w:gridCol w:w="851"/>
        <w:gridCol w:w="854"/>
        <w:gridCol w:w="109"/>
        <w:gridCol w:w="109"/>
        <w:gridCol w:w="109"/>
        <w:gridCol w:w="379"/>
        <w:gridCol w:w="1114"/>
        <w:gridCol w:w="198"/>
        <w:gridCol w:w="109"/>
        <w:gridCol w:w="109"/>
        <w:gridCol w:w="109"/>
        <w:gridCol w:w="373"/>
        <w:gridCol w:w="1089"/>
        <w:gridCol w:w="279"/>
      </w:tblGrid>
      <w:tr>
        <w:trPr/>
        <w:tc>
          <w:tcPr>
            <w:tcW w:w="129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2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Ownership as of 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3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Asahi Food, Inc. (“Asahi”)</w:t>
            </w:r>
          </w:p>
        </w:tc>
        <w:tc>
          <w:tcPr>
            <w:tcW w:w="2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Tamron Akuatik Produk Industri (“Tamron”)</w:t>
            </w:r>
          </w:p>
        </w:tc>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long-term investments</w:t>
            </w:r>
          </w:p>
        </w:tc>
        <w:tc>
          <w:tcPr>
            <w:tcW w:w="2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2,144 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2,350 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The investment in Tamron is accounted for using the measurement alternative under Accounting Standards Codification (“ASC”) Topic 321 </w:t>
      </w:r>
      <w:r>
        <w:rPr>
          <w:rFonts w:ascii="Arial;sans-serif" w:hAnsi="Arial;sans-serif"/>
          <w:b w:val="false"/>
          <w:i/>
          <w:color w:val="000000"/>
          <w:sz w:val="18"/>
        </w:rPr>
        <w:t>Investments—Equity Securities</w:t>
      </w:r>
      <w:r>
        <w:rPr>
          <w:rFonts w:ascii="Arial;sans-serif" w:hAnsi="Arial;sans-serif"/>
          <w:b w:val="false"/>
          <w:color w:val="000000"/>
          <w:sz w:val="18"/>
        </w:rPr>
        <w:t>, which is measured at cost, less any impairment, plus or minus changes resulting from observable price changes in orderly transactions for identical or similar investments, if any. The investment in Asahi is accounted for under the equity method due to the fact that the Company has significant influence but does not exercise control over this investee. The Company determined there was no impairment for the years ended December 31, 2025 and 2024 for these investments.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Accrued expenses and other liabilities consisted of the following:</w:t>
      </w:r>
    </w:p>
    <w:p>
      <w:pPr>
        <w:pStyle w:val="TextBody"/>
        <w:bidi w:val="0"/>
        <w:spacing w:before="0" w:after="0"/>
        <w:jc w:val="left"/>
        <w:rPr/>
      </w:pPr>
      <w:r>
        <w:rPr/>
      </w:r>
    </w:p>
    <w:tbl>
      <w:tblPr>
        <w:tblW w:w="7896" w:type="dxa"/>
        <w:jc w:val="left"/>
        <w:tblInd w:w="0" w:type="dxa"/>
        <w:tblLayout w:type="fixed"/>
        <w:tblCellMar>
          <w:top w:w="28" w:type="dxa"/>
          <w:left w:w="28" w:type="dxa"/>
          <w:bottom w:w="28" w:type="dxa"/>
          <w:right w:w="28" w:type="dxa"/>
        </w:tblCellMar>
      </w:tblPr>
      <w:tblGrid>
        <w:gridCol w:w="1323"/>
        <w:gridCol w:w="1167"/>
        <w:gridCol w:w="1169"/>
        <w:gridCol w:w="109"/>
        <w:gridCol w:w="109"/>
        <w:gridCol w:w="109"/>
        <w:gridCol w:w="358"/>
        <w:gridCol w:w="1226"/>
        <w:gridCol w:w="185"/>
        <w:gridCol w:w="109"/>
        <w:gridCol w:w="109"/>
        <w:gridCol w:w="109"/>
        <w:gridCol w:w="352"/>
        <w:gridCol w:w="1205"/>
        <w:gridCol w:w="257"/>
      </w:tblGrid>
      <w:tr>
        <w:trPr/>
        <w:tc>
          <w:tcPr>
            <w:tcW w:w="1323"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7,497 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and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Self-insurance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1,671 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Advance from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4,261 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14,994 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18,001 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1"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5 - Fair Value Measurements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presents the Company’s hierarchy for its assets and liabilities measured at fair value on a recurring basis as of the dates indicated:</w:t>
      </w:r>
    </w:p>
    <w:p>
      <w:pPr>
        <w:pStyle w:val="TextBody"/>
        <w:bidi w:val="0"/>
        <w:spacing w:before="0" w:after="0"/>
        <w:jc w:val="left"/>
        <w:rPr/>
      </w:pPr>
      <w:r>
        <w:rPr/>
      </w:r>
    </w:p>
    <w:tbl>
      <w:tblPr>
        <w:tblW w:w="10243" w:type="dxa"/>
        <w:jc w:val="left"/>
        <w:tblInd w:w="0" w:type="dxa"/>
        <w:tblLayout w:type="fixed"/>
        <w:tblCellMar>
          <w:top w:w="28" w:type="dxa"/>
          <w:left w:w="28" w:type="dxa"/>
          <w:bottom w:w="28" w:type="dxa"/>
          <w:right w:w="28" w:type="dxa"/>
        </w:tblCellMar>
      </w:tblPr>
      <w:tblGrid>
        <w:gridCol w:w="437"/>
        <w:gridCol w:w="253"/>
        <w:gridCol w:w="241"/>
        <w:gridCol w:w="211"/>
        <w:gridCol w:w="406"/>
        <w:gridCol w:w="109"/>
        <w:gridCol w:w="109"/>
        <w:gridCol w:w="109"/>
        <w:gridCol w:w="109"/>
        <w:gridCol w:w="211"/>
        <w:gridCol w:w="646"/>
        <w:gridCol w:w="109"/>
        <w:gridCol w:w="109"/>
        <w:gridCol w:w="109"/>
        <w:gridCol w:w="109"/>
        <w:gridCol w:w="283"/>
        <w:gridCol w:w="545"/>
        <w:gridCol w:w="148"/>
        <w:gridCol w:w="109"/>
        <w:gridCol w:w="109"/>
        <w:gridCol w:w="109"/>
        <w:gridCol w:w="211"/>
        <w:gridCol w:w="646"/>
        <w:gridCol w:w="109"/>
        <w:gridCol w:w="109"/>
        <w:gridCol w:w="109"/>
        <w:gridCol w:w="109"/>
        <w:gridCol w:w="211"/>
        <w:gridCol w:w="406"/>
        <w:gridCol w:w="109"/>
        <w:gridCol w:w="109"/>
        <w:gridCol w:w="109"/>
        <w:gridCol w:w="109"/>
        <w:gridCol w:w="221"/>
        <w:gridCol w:w="505"/>
        <w:gridCol w:w="115"/>
        <w:gridCol w:w="109"/>
        <w:gridCol w:w="109"/>
        <w:gridCol w:w="109"/>
        <w:gridCol w:w="283"/>
        <w:gridCol w:w="545"/>
        <w:gridCol w:w="148"/>
        <w:gridCol w:w="109"/>
        <w:gridCol w:w="109"/>
        <w:gridCol w:w="109"/>
        <w:gridCol w:w="211"/>
        <w:gridCol w:w="481"/>
        <w:gridCol w:w="154"/>
      </w:tblGrid>
      <w:tr>
        <w:trPr/>
        <w:tc>
          <w:tcPr>
            <w:tcW w:w="4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Quoted Prices in Active Markets for Identical Assets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 Other 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 Unobservable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Quoted Prices in Active Markets for Identical Assets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 Other 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 Unobservable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The Company follows the provisions of ASC Topic 820 </w:t>
      </w:r>
      <w:r>
        <w:rPr>
          <w:rFonts w:ascii="Arial;sans-serif" w:hAnsi="Arial;sans-serif"/>
          <w:b w:val="false"/>
          <w:i/>
          <w:color w:val="000000"/>
          <w:sz w:val="18"/>
        </w:rPr>
        <w:t>Fair Value Measurement</w:t>
      </w:r>
      <w:r>
        <w:rPr>
          <w:color w:val="000000"/>
        </w:rPr>
        <w:t xml:space="preserve"> </w:t>
      </w:r>
      <w:r>
        <w:rPr>
          <w:rFonts w:ascii="Arial;sans-serif" w:hAnsi="Arial;sans-serif"/>
          <w:b w:val="false"/>
          <w:color w:val="000000"/>
          <w:sz w:val="18"/>
        </w:rPr>
        <w:t>which clarifies the definition of fair value, prescribes methods for measuring fair value, and establishes a fair value hierarchy to classify the inputs used in measuring fair value as follows: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Arial;sans-serif" w:hAnsi="Arial;sans-serif"/>
          <w:b w:val="false"/>
          <w:color w:val="000000"/>
          <w:sz w:val="18"/>
        </w:rPr>
        <w:t>Level 1 - Inputs are unadjusted quoted prices in active markets for identical assets or liabilities available at the measurement date.</w:t>
      </w:r>
    </w:p>
    <w:p>
      <w:pPr>
        <w:pStyle w:val="TextBody"/>
        <w:bidi w:val="0"/>
        <w:spacing w:before="0" w:after="0"/>
        <w:ind w:left="0" w:right="0" w:firstLine="360"/>
        <w:jc w:val="both"/>
        <w:rPr/>
      </w:pPr>
      <w:r>
        <w:rPr/>
      </w:r>
    </w:p>
    <w:p>
      <w:pPr>
        <w:pStyle w:val="TextBody"/>
        <w:bidi w:val="0"/>
        <w:spacing w:lineRule="auto" w:line="288" w:before="0" w:after="0"/>
        <w:jc w:val="both"/>
        <w:rPr/>
      </w:pPr>
      <w:r>
        <w:rPr>
          <w:color w:val="000000"/>
        </w:rPr>
        <w:t>•</w:t>
      </w:r>
      <w:r>
        <w:rPr>
          <w:rFonts w:ascii="Arial;sans-serif" w:hAnsi="Arial;sans-serif"/>
          <w:b w:val="false"/>
          <w:color w:val="000000"/>
          <w:sz w:val="18"/>
        </w:rPr>
        <w:t>Level 2 - Inputs are unadjusted quoted prices for similar assets and liabilities in active markets, quoted prices for identical or similar assets and liabilities in markets that are not active, inputs other than quoted prices that are observable, and inputs derived from or corroborated by observable market data.</w:t>
      </w:r>
    </w:p>
    <w:p>
      <w:pPr>
        <w:pStyle w:val="TextBody"/>
        <w:bidi w:val="0"/>
        <w:spacing w:before="0" w:after="0"/>
        <w:ind w:left="0" w:right="0" w:firstLine="360"/>
        <w:jc w:val="both"/>
        <w:rPr/>
      </w:pPr>
      <w:r>
        <w:rPr/>
      </w:r>
    </w:p>
    <w:p>
      <w:pPr>
        <w:pStyle w:val="TextBody"/>
        <w:bidi w:val="0"/>
        <w:spacing w:lineRule="auto" w:line="288" w:before="0" w:after="0"/>
        <w:jc w:val="both"/>
        <w:rPr/>
      </w:pPr>
      <w:r>
        <w:rPr>
          <w:color w:val="000000"/>
        </w:rPr>
        <w:t>•</w:t>
      </w:r>
      <w:r>
        <w:rPr>
          <w:rFonts w:ascii="Arial;sans-serif" w:hAnsi="Arial;sans-serif"/>
          <w:b w:val="false"/>
          <w:color w:val="000000"/>
          <w:sz w:val="18"/>
        </w:rPr>
        <w:t>Level 3 - Inputs are unobservable inputs which reflect the reporting entity’s own assumptions about what assumptions market participants would use in pricing the asset or liability based on the best available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Any transfers of assets or liabilities between Level 1, Level 2, and Level 3 of the fair value hierarchy will be recognized at the end of the reporting period in which the transfer occurs. There were no transfers between fair value levels in any of the periods presented herein.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carrying amounts reported in the consolidated balance sheets for cash, accounts receivable, other current assets, accounts payable, checks issued not presented for payment and accrued expenses and other liabilities approximate their fair value based on the short-term maturity of these instruments.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See </w:t>
      </w:r>
      <w:r>
        <w:rPr>
          <w:rFonts w:ascii="Arial;sans-serif" w:hAnsi="Arial;sans-serif"/>
          <w:b w:val="false"/>
          <w:i/>
          <w:color w:val="000000"/>
          <w:sz w:val="18"/>
        </w:rPr>
        <w:t>Note 8 - Derivative Financial Instruments</w:t>
      </w:r>
      <w:r>
        <w:rPr>
          <w:color w:val="000000"/>
        </w:rPr>
        <w:t xml:space="preserve"> </w:t>
      </w:r>
      <w:r>
        <w:rPr>
          <w:rFonts w:ascii="Arial;sans-serif" w:hAnsi="Arial;sans-serif"/>
          <w:b w:val="false"/>
          <w:color w:val="000000"/>
          <w:sz w:val="18"/>
        </w:rPr>
        <w:t xml:space="preserve">for additional information regarding the Company’s interest rate swaps.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2"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i/>
          <w:color w:val="000000"/>
          <w:sz w:val="18"/>
        </w:rPr>
        <w:t>Carrying Value and Estimated Fair Value of Outstanding Debt</w:t>
      </w:r>
      <w:r>
        <w:rPr>
          <w:color w:val="000000"/>
        </w:rPr>
        <w:t xml:space="preserve"> </w:t>
      </w:r>
      <w:r>
        <w:rPr>
          <w:rFonts w:ascii="Arial;sans-serif" w:hAnsi="Arial;sans-serif"/>
          <w:b w:val="false"/>
          <w:color w:val="000000"/>
          <w:sz w:val="18"/>
        </w:rPr>
        <w:t xml:space="preserve">- The following table presents the carrying value and estimated fair value of the Company’s outstanding debt as described in </w:t>
      </w:r>
      <w:r>
        <w:rPr>
          <w:rFonts w:ascii="Arial;sans-serif" w:hAnsi="Arial;sans-serif"/>
          <w:b w:val="false"/>
          <w:i/>
          <w:color w:val="000000"/>
          <w:sz w:val="18"/>
        </w:rPr>
        <w:t>Note 9 - Long-Term Debt</w:t>
      </w:r>
      <w:r>
        <w:rPr>
          <w:rFonts w:ascii="Arial;sans-serif" w:hAnsi="Arial;sans-serif"/>
          <w:b w:val="false"/>
          <w:color w:val="000000"/>
          <w:sz w:val="18"/>
        </w:rPr>
        <w:t>, including the current portion, as of the dates indicated:</w:t>
      </w:r>
    </w:p>
    <w:p>
      <w:pPr>
        <w:pStyle w:val="TextBody"/>
        <w:bidi w:val="0"/>
        <w:spacing w:before="0" w:after="0"/>
        <w:jc w:val="both"/>
        <w:rPr/>
      </w:pPr>
      <w:r>
        <w:rPr/>
      </w:r>
    </w:p>
    <w:tbl>
      <w:tblPr>
        <w:tblW w:w="7719" w:type="dxa"/>
        <w:jc w:val="left"/>
        <w:tblInd w:w="0" w:type="dxa"/>
        <w:tblLayout w:type="fixed"/>
        <w:tblCellMar>
          <w:top w:w="28" w:type="dxa"/>
          <w:left w:w="28" w:type="dxa"/>
          <w:bottom w:w="28" w:type="dxa"/>
          <w:right w:w="28" w:type="dxa"/>
        </w:tblCellMar>
      </w:tblPr>
      <w:tblGrid>
        <w:gridCol w:w="802"/>
        <w:gridCol w:w="708"/>
        <w:gridCol w:w="709"/>
        <w:gridCol w:w="109"/>
        <w:gridCol w:w="109"/>
        <w:gridCol w:w="109"/>
        <w:gridCol w:w="211"/>
        <w:gridCol w:w="406"/>
        <w:gridCol w:w="109"/>
        <w:gridCol w:w="109"/>
        <w:gridCol w:w="109"/>
        <w:gridCol w:w="109"/>
        <w:gridCol w:w="211"/>
        <w:gridCol w:w="826"/>
        <w:gridCol w:w="109"/>
        <w:gridCol w:w="109"/>
        <w:gridCol w:w="109"/>
        <w:gridCol w:w="109"/>
        <w:gridCol w:w="211"/>
        <w:gridCol w:w="466"/>
        <w:gridCol w:w="109"/>
        <w:gridCol w:w="109"/>
        <w:gridCol w:w="109"/>
        <w:gridCol w:w="109"/>
        <w:gridCol w:w="254"/>
        <w:gridCol w:w="995"/>
        <w:gridCol w:w="131"/>
        <w:gridCol w:w="154"/>
      </w:tblGrid>
      <w:tr>
        <w:trPr/>
        <w:tc>
          <w:tcPr>
            <w:tcW w:w="80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9" w:type="dxa"/>
            <w:gridSpan w:val="21"/>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4" w:type="dxa"/>
            <w:tcBorders/>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u w:val="single"/>
              </w:rPr>
            </w:pPr>
            <w:r>
              <w:rPr>
                <w:rFonts w:ascii="Arial;sans-serif" w:hAnsi="Arial;sans-serif"/>
                <w:b w:val="false"/>
                <w:i/>
                <w:color w:val="000000"/>
                <w:sz w:val="18"/>
                <w:u w:val="single"/>
              </w:rPr>
              <w:t>Fixed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Bank of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financial institutions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u w:val="single"/>
              </w:rPr>
            </w:pPr>
            <w:r>
              <w:rPr>
                <w:rFonts w:ascii="Arial;sans-serif" w:hAnsi="Arial;sans-serif"/>
                <w:b w:val="false"/>
                <w:i/>
                <w:color w:val="000000"/>
                <w:sz w:val="18"/>
                <w:u w:val="single"/>
              </w:rPr>
              <w:t>Variable rate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JPMorgan 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Bank of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East West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u w:val="single"/>
              </w:rPr>
            </w:pPr>
            <w:r>
              <w:rPr>
                <w:rFonts w:ascii="Arial;sans-serif" w:hAnsi="Arial;sans-serif"/>
                <w:b w:val="false"/>
                <w:i/>
                <w:color w:val="000000"/>
                <w:sz w:val="18"/>
                <w:u w:val="single"/>
              </w:rPr>
              <w:t>Fixed rate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Bank of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u w:val="single"/>
              </w:rPr>
            </w:pPr>
            <w:r>
              <w:rPr>
                <w:rFonts w:ascii="Arial;sans-serif" w:hAnsi="Arial;sans-serif"/>
                <w:b w:val="false"/>
                <w:i/>
                <w:color w:val="000000"/>
                <w:sz w:val="18"/>
                <w:u w:val="single"/>
              </w:rPr>
              <w:t>Variable rate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JPMorgan 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101,040 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Bank of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East West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carrying value of the variable rate debt approximates its fair value because of the variability of interest rates associated with these instruments. For the Company’s fixed rate debt, the fair values were estimated using discounted cash flow analyses, based on the current incremental borrowing rates for similar types of borrowing arrangements.</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18"/>
        </w:rPr>
        <w:t xml:space="preserve">See </w:t>
      </w:r>
      <w:r>
        <w:rPr>
          <w:rFonts w:ascii="Arial;sans-serif" w:hAnsi="Arial;sans-serif"/>
          <w:b w:val="false"/>
          <w:i/>
          <w:color w:val="000000"/>
          <w:sz w:val="18"/>
        </w:rPr>
        <w:t>Note 9 - Long-Term Debt</w:t>
      </w:r>
      <w:r>
        <w:rPr>
          <w:color w:val="000000"/>
        </w:rPr>
        <w:t xml:space="preserve"> </w:t>
      </w:r>
      <w:r>
        <w:rPr>
          <w:rFonts w:ascii="Arial;sans-serif" w:hAnsi="Arial;sans-serif"/>
          <w:b w:val="false"/>
          <w:color w:val="000000"/>
          <w:sz w:val="18"/>
        </w:rPr>
        <w:t>for additional information regarding the Company’s debt.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Nonrecurring Fair Values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measures fair value of certain assets on a nonrecurring basis when events or changes in circumstances indicate that the carrying value of the assets may not be recoverable.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As further disclosed in </w:t>
      </w:r>
      <w:r>
        <w:rPr>
          <w:rFonts w:ascii="Arial;sans-serif" w:hAnsi="Arial;sans-serif"/>
          <w:b w:val="false"/>
          <w:i/>
          <w:color w:val="000000"/>
          <w:sz w:val="18"/>
        </w:rPr>
        <w:t>Note 7 - Goodwill and Intangible Assets,</w:t>
      </w:r>
      <w:r>
        <w:rPr>
          <w:color w:val="000000"/>
        </w:rPr>
        <w:t xml:space="preserve"> </w:t>
      </w:r>
      <w:r>
        <w:rPr>
          <w:rFonts w:ascii="Arial;sans-serif" w:hAnsi="Arial;sans-serif"/>
          <w:b w:val="false"/>
          <w:color w:val="000000"/>
          <w:sz w:val="18"/>
        </w:rPr>
        <w:t>we performed a quantitative goodwill impairment analysis as of December 31, 2025 and 2024. The results of testing as of December 31, 2025 and 2024 concluded that the estimated fair value of our one reporting unit fell short of carrying value, and therefore impairment existed as of those dates. Goodwill impairment charges of $38.8 million and $46.3 million were recorded for the years ended December 31, 2025 and 2024, respectively. The calculation of the fair value of our reporting unit was determined using Level 3 fair value measurements due to its use of internal projections and unobservable measurement inputs.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There were no assets carried at nonrecurring fair value other than goodwill at December 31, 2025 or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6 - Leases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leases office space, warehouses and vacant land that is currently being developed under non-cancelable operating leases, with terms typically ranging from one to thirty years, as well as operating and finance leases for vehicles and delivery trucks, forklifts and computer equipment with various expiration dates through 2051. The Company determines whether an arrangement is or includes an embedded lease at contract inception.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Operating and finance lease assets and lease liabilities are recognized at commencement date and initially measured based on the present value of lease payments over the defined lease term. Operating lease expense is recognized on a straight-line basis over the lease term. The Company also recognizes finance lease assets and finance lease liabilities at inception, with lease expense recognized as interest expense and amortization of the lease payment. Variable lease costs were insignificant in the years ended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3"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Operating Leases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components of operating lease expense were as follows:</w:t>
      </w:r>
    </w:p>
    <w:tbl>
      <w:tblPr>
        <w:tblW w:w="7364" w:type="dxa"/>
        <w:jc w:val="left"/>
        <w:tblInd w:w="0" w:type="dxa"/>
        <w:tblLayout w:type="fixed"/>
        <w:tblCellMar>
          <w:top w:w="28" w:type="dxa"/>
          <w:left w:w="28" w:type="dxa"/>
          <w:bottom w:w="28" w:type="dxa"/>
          <w:right w:w="28" w:type="dxa"/>
        </w:tblCellMar>
      </w:tblPr>
      <w:tblGrid>
        <w:gridCol w:w="1503"/>
        <w:gridCol w:w="1325"/>
        <w:gridCol w:w="1327"/>
        <w:gridCol w:w="109"/>
        <w:gridCol w:w="109"/>
        <w:gridCol w:w="109"/>
        <w:gridCol w:w="416"/>
        <w:gridCol w:w="285"/>
        <w:gridCol w:w="286"/>
        <w:gridCol w:w="215"/>
        <w:gridCol w:w="215"/>
        <w:gridCol w:w="215"/>
        <w:gridCol w:w="416"/>
        <w:gridCol w:w="285"/>
        <w:gridCol w:w="286"/>
        <w:gridCol w:w="109"/>
        <w:gridCol w:w="154"/>
      </w:tblGrid>
      <w:tr>
        <w:trPr/>
        <w:tc>
          <w:tcPr>
            <w:tcW w:w="1503"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6,903</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4,709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Short-term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4,088</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 average remaining lease term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Supplemental cash flow information related to operating leases was as follows:</w:t>
      </w:r>
    </w:p>
    <w:tbl>
      <w:tblPr>
        <w:tblW w:w="6527" w:type="dxa"/>
        <w:jc w:val="left"/>
        <w:tblInd w:w="0" w:type="dxa"/>
        <w:tblLayout w:type="fixed"/>
        <w:tblCellMar>
          <w:top w:w="28" w:type="dxa"/>
          <w:left w:w="28" w:type="dxa"/>
          <w:bottom w:w="28" w:type="dxa"/>
          <w:right w:w="28" w:type="dxa"/>
        </w:tblCellMar>
      </w:tblPr>
      <w:tblGrid>
        <w:gridCol w:w="1318"/>
        <w:gridCol w:w="1162"/>
        <w:gridCol w:w="1165"/>
        <w:gridCol w:w="416"/>
        <w:gridCol w:w="285"/>
        <w:gridCol w:w="286"/>
        <w:gridCol w:w="215"/>
        <w:gridCol w:w="215"/>
        <w:gridCol w:w="215"/>
        <w:gridCol w:w="416"/>
        <w:gridCol w:w="285"/>
        <w:gridCol w:w="286"/>
        <w:gridCol w:w="109"/>
        <w:gridCol w:w="154"/>
      </w:tblGrid>
      <w:tr>
        <w:trPr/>
        <w:tc>
          <w:tcPr>
            <w:tcW w:w="131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thousands)</w:t>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cash flows from operating leases</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5,986</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Finance Leases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components of finance lease expense were as follows: </w:t>
      </w:r>
    </w:p>
    <w:tbl>
      <w:tblPr>
        <w:tblW w:w="4955" w:type="dxa"/>
        <w:jc w:val="left"/>
        <w:tblInd w:w="0" w:type="dxa"/>
        <w:tblLayout w:type="fixed"/>
        <w:tblCellMar>
          <w:top w:w="28" w:type="dxa"/>
          <w:left w:w="28" w:type="dxa"/>
          <w:bottom w:w="28" w:type="dxa"/>
          <w:right w:w="28" w:type="dxa"/>
        </w:tblCellMar>
      </w:tblPr>
      <w:tblGrid>
        <w:gridCol w:w="851"/>
        <w:gridCol w:w="751"/>
        <w:gridCol w:w="752"/>
        <w:gridCol w:w="224"/>
        <w:gridCol w:w="655"/>
        <w:gridCol w:w="116"/>
        <w:gridCol w:w="116"/>
        <w:gridCol w:w="116"/>
        <w:gridCol w:w="116"/>
        <w:gridCol w:w="224"/>
        <w:gridCol w:w="655"/>
        <w:gridCol w:w="116"/>
        <w:gridCol w:w="109"/>
        <w:gridCol w:w="154"/>
      </w:tblGrid>
      <w:tr>
        <w:trPr/>
        <w:tc>
          <w:tcPr>
            <w:tcW w:w="8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thousands)</w:t>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Finance leases cost:</w:t>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of ROU assets</w:t>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on lease liabilities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finance leases cost</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8,874 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5,533 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Supplemental cash flow information related to finance leases was as follows: </w:t>
      </w:r>
    </w:p>
    <w:tbl>
      <w:tblPr>
        <w:tblW w:w="6347" w:type="dxa"/>
        <w:jc w:val="left"/>
        <w:tblInd w:w="0" w:type="dxa"/>
        <w:tblLayout w:type="fixed"/>
        <w:tblCellMar>
          <w:top w:w="28" w:type="dxa"/>
          <w:left w:w="28" w:type="dxa"/>
          <w:bottom w:w="28" w:type="dxa"/>
          <w:right w:w="28" w:type="dxa"/>
        </w:tblCellMar>
      </w:tblPr>
      <w:tblGrid>
        <w:gridCol w:w="1253"/>
        <w:gridCol w:w="1105"/>
        <w:gridCol w:w="1107"/>
        <w:gridCol w:w="416"/>
        <w:gridCol w:w="285"/>
        <w:gridCol w:w="286"/>
        <w:gridCol w:w="215"/>
        <w:gridCol w:w="215"/>
        <w:gridCol w:w="215"/>
        <w:gridCol w:w="416"/>
        <w:gridCol w:w="285"/>
        <w:gridCol w:w="286"/>
        <w:gridCol w:w="109"/>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thousands)</w:t>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cash flows from finance leases</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1,817</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Supplemental balance sheet information related to finance leases was as follows:</w:t>
      </w:r>
    </w:p>
    <w:tbl>
      <w:tblPr>
        <w:tblW w:w="8066" w:type="dxa"/>
        <w:jc w:val="left"/>
        <w:tblInd w:w="0" w:type="dxa"/>
        <w:tblLayout w:type="fixed"/>
        <w:tblCellMar>
          <w:top w:w="28" w:type="dxa"/>
          <w:left w:w="28" w:type="dxa"/>
          <w:bottom w:w="28" w:type="dxa"/>
          <w:right w:w="28" w:type="dxa"/>
        </w:tblCellMar>
      </w:tblPr>
      <w:tblGrid>
        <w:gridCol w:w="1504"/>
        <w:gridCol w:w="1324"/>
        <w:gridCol w:w="1327"/>
        <w:gridCol w:w="310"/>
        <w:gridCol w:w="1061"/>
        <w:gridCol w:w="398"/>
        <w:gridCol w:w="109"/>
        <w:gridCol w:w="109"/>
        <w:gridCol w:w="109"/>
        <w:gridCol w:w="307"/>
        <w:gridCol w:w="1049"/>
        <w:gridCol w:w="459"/>
      </w:tblGrid>
      <w:tr>
        <w:trPr/>
        <w:tc>
          <w:tcPr>
            <w:tcW w:w="150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at cost</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50,002 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36,072 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depreciation</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(21,132)</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(14,262)</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28,870 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21,810 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remaining lease term (months)</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discount rate</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4"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Maturities of lease liabilities are as follows:</w:t>
      </w:r>
    </w:p>
    <w:tbl>
      <w:tblPr>
        <w:tblW w:w="6503" w:type="dxa"/>
        <w:jc w:val="left"/>
        <w:tblInd w:w="0" w:type="dxa"/>
        <w:tblLayout w:type="fixed"/>
        <w:tblCellMar>
          <w:top w:w="28" w:type="dxa"/>
          <w:left w:w="28" w:type="dxa"/>
          <w:bottom w:w="28" w:type="dxa"/>
          <w:right w:w="28" w:type="dxa"/>
        </w:tblCellMar>
      </w:tblPr>
      <w:tblGrid>
        <w:gridCol w:w="830"/>
        <w:gridCol w:w="732"/>
        <w:gridCol w:w="733"/>
        <w:gridCol w:w="109"/>
        <w:gridCol w:w="109"/>
        <w:gridCol w:w="109"/>
        <w:gridCol w:w="109"/>
        <w:gridCol w:w="109"/>
        <w:gridCol w:w="109"/>
        <w:gridCol w:w="109"/>
        <w:gridCol w:w="328"/>
        <w:gridCol w:w="1122"/>
        <w:gridCol w:w="169"/>
        <w:gridCol w:w="109"/>
        <w:gridCol w:w="109"/>
        <w:gridCol w:w="109"/>
        <w:gridCol w:w="291"/>
        <w:gridCol w:w="996"/>
        <w:gridCol w:w="212"/>
      </w:tblGrid>
      <w:tr>
        <w:trPr/>
        <w:tc>
          <w:tcPr>
            <w:tcW w:w="8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Finance Leases</w:t>
            </w:r>
          </w:p>
        </w:tc>
      </w:tr>
      <w:tr>
        <w:trPr/>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6,792 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8,057 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4,406 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7,598 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3,729 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6,662 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2,822 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3,719 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2,746 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2,015 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23,760 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15,683 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lease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44,255 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43,734 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Imputed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(16,931)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(12,030)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27,324 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31,704 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December 31, 2025, the Company had additional leases for vehicles that had not yet commenced which total $0.8 million in future minimum lease payments and were excluded from the table above. These vehicle leases are expected to commence during the year ended December 31, 2026 with lease terms of 7 to 8 years.</w:t>
      </w:r>
    </w:p>
    <w:p>
      <w:pPr>
        <w:pStyle w:val="TextBody"/>
        <w:bidi w:val="0"/>
        <w:spacing w:before="0" w:after="0"/>
        <w:jc w:val="both"/>
        <w:rPr/>
      </w:pPr>
      <w:r>
        <w:rPr/>
      </w:r>
    </w:p>
    <w:p>
      <w:pPr>
        <w:pStyle w:val="TextBody"/>
        <w:bidi w:val="0"/>
        <w:spacing w:lineRule="auto" w:line="276" w:before="0" w:after="0"/>
        <w:jc w:val="left"/>
        <w:rPr>
          <w:rFonts w:ascii="Arial;sans-serif" w:hAnsi="Arial;sans-serif"/>
          <w:b/>
          <w:i/>
          <w:color w:val="000000"/>
          <w:sz w:val="18"/>
        </w:rPr>
      </w:pPr>
      <w:r>
        <w:rPr>
          <w:rFonts w:ascii="Arial;sans-serif" w:hAnsi="Arial;sans-serif"/>
          <w:b/>
          <w:i/>
          <w:color w:val="000000"/>
          <w:sz w:val="18"/>
        </w:rPr>
        <w:t>AnHeart Lease Arrangements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was previously the guarantor of leases for properties located at 273 Fifth Avenue and 275 Fifth Avenue in Manhattan, New York. In connection with these arrangements, the Company previously determined that AnHeart, Inc. (“AnHeart”) was a variable interest entity (“VIE”); however, because the Company was not the primary beneficiary, AnHeart was not consolidated.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Effective January 21, 2021, the Company assumed the lease for 273 Fifth Avenue and became responsible for the related tenant obligations thereunder, including rent and required property improvements. The lease term expires in January 2051. In March 2024, the Company commenced the required construction of a multi-use facility at the property. As of December 31, 2025, the Company had incurred approximately $7.3 million of construction costs, and the project was placed in service in September 2025 following receipt of the certificate of occupancy. The lease agreement permits subletting of the premises, and as of December 31, 2025, the Company had entered into sub-lease arrangements for portions of the property.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Following AnHeart’s default under the 275 Fifth Avenue lease in 2022, the Company performed under its guaranty and recognized a lease guarantee liability. Effective April 30, 2024, the Company assumed the lease for portions of the 275 Fifth Avenue property. Upon assumption of the lease, the Company determined that AnHeart was no longer a VIE with respect to this arrangement. The remaining lease guarantee liability of $5.4 million was reversed, and an operating lease right-of-use asset and lease liability of approximately $4.9 million were recognized on the consolidated balance sheet. The Company recognized a $5.4 million gain in other expense (income), net during 2024 for the reversal of the lease guarantee liability. The lease term expires on April 30, 2034, includes options to renew for up to two additional five-year terms, and provides for initial monthly rent of approximately $45,000, subject to annual increases. Certain legal matters relating to the 273 Fifth Avenue and 275 Fifth Avenue lease arrangements are described in </w:t>
      </w:r>
      <w:r>
        <w:rPr>
          <w:rFonts w:ascii="Arial;sans-serif" w:hAnsi="Arial;sans-serif"/>
          <w:b w:val="false"/>
          <w:i/>
          <w:color w:val="000000"/>
          <w:sz w:val="18"/>
        </w:rPr>
        <w:t>Note 17 - Commitments and Contingencies</w:t>
      </w:r>
      <w:r>
        <w:rPr>
          <w:rFonts w:ascii="Arial;sans-serif" w:hAnsi="Arial;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5"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7 - Goodwill and Intangible Assets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Goodwill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changes in the carrying amount of goodwill are presented below:</w:t>
      </w:r>
    </w:p>
    <w:p>
      <w:pPr>
        <w:pStyle w:val="TextBody"/>
        <w:bidi w:val="0"/>
        <w:spacing w:before="0" w:after="0"/>
        <w:jc w:val="both"/>
        <w:rPr/>
      </w:pPr>
      <w:r>
        <w:rPr/>
      </w:r>
    </w:p>
    <w:tbl>
      <w:tblPr>
        <w:tblW w:w="4067" w:type="dxa"/>
        <w:jc w:val="left"/>
        <w:tblInd w:w="0" w:type="dxa"/>
        <w:tblLayout w:type="fixed"/>
        <w:tblCellMar>
          <w:top w:w="28" w:type="dxa"/>
          <w:left w:w="28" w:type="dxa"/>
          <w:bottom w:w="28" w:type="dxa"/>
          <w:right w:w="28" w:type="dxa"/>
        </w:tblCellMar>
      </w:tblPr>
      <w:tblGrid>
        <w:gridCol w:w="960"/>
        <w:gridCol w:w="846"/>
        <w:gridCol w:w="848"/>
        <w:gridCol w:w="109"/>
        <w:gridCol w:w="109"/>
        <w:gridCol w:w="109"/>
        <w:gridCol w:w="211"/>
        <w:gridCol w:w="721"/>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Accumulated impairment for goodwill is $423.3 million as of December 31, 2025 and $384.5 million as of December 31, 2024. Prior to the goodwill impairment charge in the current year, the accumulated impairment resulted from impairment charges taken during the years ended December 31, 2024 and December 31, 2020.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There is only one reporting unit at December 31, 2025 and 2024. The Company tests goodwill for impairment at least annually, as of December 31, or whenever events or changes in circumstances indicated goodwill might be impaired.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As of September 30, 2024, the Company concluded that a triggering event occurred due to a sustained decline in the Company’s stock price since December 31, 2023, which required interim testing for goodwill impairment in accordance with ASC 350. Accordingly, the Company performed a quantitative assessment as of September 30, 2024. The fair value of the reporting unit exceeded the carrying value, and therefore the Company concluded no impairment was required to be recorded during the period ended September 30, 2024.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a result of continued declines in the level of stock price, the Company performed a quantitative impairment assessment as of December 31, 2024. The results of the testing as of December 31, 2024, concluded that the estimated fair value of the reporting unit fell short of carrying value, and therefore impairment existed as of that date. A goodwill impairment charge of $46.3 million was recorded in the consolidated statements of operations and comprehensive loss during the year ended December 31,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a result of declines in the stock price during the fourth quarter of 2025, the Company performed a quantitative impairment assessment as of December 31, 2025. The results of the testing at December 31, 2025, resulted in the conclusion that the estimated fair value of the Company’s single reporting unit was less than its carrying value, and its goodwill was impaired. A goodwill impairment charge was recorded in the consolidated statements of operations and comprehensive loss during the year ended December 31, 2025 of $38.8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For the impairment tests conducted in 2025 and 2024, the Company used a combination of an income approach or a discounted cash flow (“DCF”) model and market approaches, such as public company comparable analysis and comparable acquisitions analysis to determine fair value of the reporting unit. The income approach and market approaches were weighted equally to estimate fair value. The income approach requires detailed forecasts of cash flows, including assumptions such as revenue growth rates, gross profit margins, distribution, selling and administrative expenses, among other assumptions, and an estimate of weighted-average cost of capital which the Company believes approximate the assumptions from a market participant’s perspective. The market approaches are primarily impacted by an enterprise value multiple of EBITDA. These estimates incorporate many uncertain factors which could be impacted by changes in market conditions, interest rates, growth rate, tax rates, costs, customer behavior, regulatory environment and other macroeconomic changes. In addition, the Company considered the reasonableness of the fair value of the reporting unit by assessing the implied enterprise value control premium based on the Company’s market capitalization. The Company determined that the implied control premiums used in each analysis were reasonable which corroborates the Company’s fair value estimates. The Company categorized the fair value determination as Level 3 in the fair value hierarchy due to its use of internal projections and unobservable measurement inputs.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Assumptions used in impairment testing are made at a point in time and require significant judgment; therefore, they are subject to change based on the facts and circumstances present at each impairment test date. Additionally, these assumptions are generally interdependent and do not change in isolation.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December 31, 2025, the Company’s goodwill was fully impaired.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6"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Intangible Assets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connection with the Sealand acquisition in 2022, the Company acquired $14.7 million of intangible assets, primarily representing trademarks and trade names of $4.4 million, customer relationships of $8.9 million and non-compete agreements of $1.4 million. The useful lives of trademarks and trade names are ten years, customer relationships are ten years and non-compete agreements are three years.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In connection with the Great Wall Group acquisition in 2021, HF Foods acquired $30.1 million of intangible assets, primarily representing a non-competition agreement, trademarks and trade names and customer relationships, which have an estimated amortization period of approximately three years, ten years, and ten years, respectively.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In connection with the acquisition of B&amp;R Global in 2019, HF Foods acquired $188.5 million of intangible assets, primarily representing trademarks and trade names and customer relationships which have an estimated amortization period of ten and twenty years, respectively</w:t>
      </w:r>
      <w:r>
        <w:rPr>
          <w:rFonts w:ascii="Arial;sans-serif" w:hAnsi="Arial;sans-serif"/>
          <w:b/>
          <w:i/>
          <w:color w:val="000000"/>
          <w:sz w:val="18"/>
        </w:rPr>
        <w:t>.</w:t>
      </w:r>
    </w:p>
    <w:p>
      <w:pPr>
        <w:pStyle w:val="TextBody"/>
        <w:bidi w:val="0"/>
        <w:spacing w:before="0" w:after="0"/>
        <w:jc w:val="both"/>
        <w:rPr/>
      </w:pPr>
      <w:r>
        <w:rPr/>
      </w:r>
    </w:p>
    <w:tbl>
      <w:tblPr>
        <w:tblW w:w="10554" w:type="dxa"/>
        <w:jc w:val="left"/>
        <w:tblInd w:w="0" w:type="dxa"/>
        <w:tblLayout w:type="fixed"/>
        <w:tblCellMar>
          <w:top w:w="28" w:type="dxa"/>
          <w:left w:w="28" w:type="dxa"/>
          <w:bottom w:w="28" w:type="dxa"/>
          <w:right w:w="28" w:type="dxa"/>
        </w:tblCellMar>
      </w:tblPr>
      <w:tblGrid>
        <w:gridCol w:w="532"/>
        <w:gridCol w:w="468"/>
        <w:gridCol w:w="471"/>
        <w:gridCol w:w="109"/>
        <w:gridCol w:w="109"/>
        <w:gridCol w:w="109"/>
        <w:gridCol w:w="211"/>
        <w:gridCol w:w="826"/>
        <w:gridCol w:w="109"/>
        <w:gridCol w:w="109"/>
        <w:gridCol w:w="109"/>
        <w:gridCol w:w="109"/>
        <w:gridCol w:w="248"/>
        <w:gridCol w:w="868"/>
        <w:gridCol w:w="130"/>
        <w:gridCol w:w="109"/>
        <w:gridCol w:w="109"/>
        <w:gridCol w:w="109"/>
        <w:gridCol w:w="211"/>
        <w:gridCol w:w="826"/>
        <w:gridCol w:w="109"/>
        <w:gridCol w:w="109"/>
        <w:gridCol w:w="109"/>
        <w:gridCol w:w="109"/>
        <w:gridCol w:w="211"/>
        <w:gridCol w:w="826"/>
        <w:gridCol w:w="109"/>
        <w:gridCol w:w="109"/>
        <w:gridCol w:w="109"/>
        <w:gridCol w:w="109"/>
        <w:gridCol w:w="248"/>
        <w:gridCol w:w="868"/>
        <w:gridCol w:w="130"/>
        <w:gridCol w:w="109"/>
        <w:gridCol w:w="109"/>
        <w:gridCol w:w="109"/>
        <w:gridCol w:w="211"/>
        <w:gridCol w:w="826"/>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Net</w:t>
              <w:br/>
              <w:t>Carrying</w:t>
              <w:br/>
              <w:t>Amount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Non-competition agreements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(3,892)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(3,723)</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Trademarks and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(23,894)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(19,465)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185,266 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(59,218)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185,266 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(48,651)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Inventory Management System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239,032 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(87,544)</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233,365 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(71,839)</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161,526 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evaluated possible triggering events that would indicate its long-lived assets are impaired. No impairment was recorded against intangible assets for the years ended December 31, 2025 and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Amortization expense for intangible assets was $15.7 million and $16.3 million for the years ended December 31, 2025 and 2024, respectively.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estimated future amortization expense for intangible assets is presented below:</w:t>
      </w:r>
    </w:p>
    <w:p>
      <w:pPr>
        <w:pStyle w:val="TextBody"/>
        <w:bidi w:val="0"/>
        <w:spacing w:before="0" w:after="0"/>
        <w:jc w:val="both"/>
        <w:rPr/>
      </w:pPr>
      <w:r>
        <w:rPr/>
      </w:r>
    </w:p>
    <w:tbl>
      <w:tblPr>
        <w:tblW w:w="3842" w:type="dxa"/>
        <w:jc w:val="left"/>
        <w:tblInd w:w="0" w:type="dxa"/>
        <w:tblLayout w:type="fixed"/>
        <w:tblCellMar>
          <w:top w:w="28" w:type="dxa"/>
          <w:left w:w="28" w:type="dxa"/>
          <w:bottom w:w="28" w:type="dxa"/>
          <w:right w:w="28" w:type="dxa"/>
        </w:tblCellMar>
      </w:tblPr>
      <w:tblGrid>
        <w:gridCol w:w="840"/>
        <w:gridCol w:w="741"/>
        <w:gridCol w:w="743"/>
        <w:gridCol w:w="109"/>
        <w:gridCol w:w="109"/>
        <w:gridCol w:w="109"/>
        <w:gridCol w:w="211"/>
        <w:gridCol w:w="826"/>
        <w:gridCol w:w="154"/>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r>
      <w:tr>
        <w:trPr/>
        <w:tc>
          <w:tcPr>
            <w:tcW w:w="2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Year ending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75,921 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151,488 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8 - Derivative Financial Instruments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Derivative Instruments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The Company utilizes interest rate swaps (“IRS”) for the sole purpose of mitigating interest rate fluctuation risk associated with floating rate debt instruments (as defined in </w:t>
      </w:r>
      <w:r>
        <w:rPr>
          <w:rFonts w:ascii="Arial;sans-serif" w:hAnsi="Arial;sans-serif"/>
          <w:b w:val="false"/>
          <w:i/>
          <w:color w:val="000000"/>
          <w:sz w:val="18"/>
        </w:rPr>
        <w:t>Note 9 - Long-Term Debt</w:t>
      </w:r>
      <w:r>
        <w:rPr>
          <w:rFonts w:ascii="Arial;sans-serif" w:hAnsi="Arial;sans-serif"/>
          <w:b w:val="false"/>
          <w:color w:val="000000"/>
          <w:sz w:val="18"/>
        </w:rPr>
        <w:t>). The Company does not use any other derivative financial instruments for trading or speculative purposes.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On August 20, 2019, HF Foods entered into two IRS contracts with East West Bank (the “EWB IRS”) for initial notional amounts of $1.1 million and $2.6 million, respectively. On April 20, 2023, the Company amended the corresponding mortgage term loans, which pegged the two mortgage term loans to 1-month Term SOFR (Secured Overnight Financing Rate) + 2.29% per annum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7"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remaining duration of the term loans. The amended EWB IRS contracts fixed the two term loans at 4.23% per annum until maturity in September 2029.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December 19, 2019, HF Foods entered into an IRS contract with Bank of America (the “BOA IRS”) for an initial notional amount of $2.7 million in conjunction with a newly contracted mortgage term loan of corresponding amount. On December 19, 2021, the Company entered into the Second Amendment to Loan Agreement, which pegged the mortgage term loan to Term SOFR + 2.50%. The BOA IRS was modified accordingly to fix the SOFR based loan to approximately 4.50%. The term loan and corresponding BOA IRS contract mature in December 2029.</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March 15, 2023, the Company entered into an amortizing IRS contract with JPMorgan Chase for an initial notional amount of $120.0 million, effective from March 1, 2023 and expiring in March 2028, as a means to partially hedge its existing floating rate loans exposure. Pursuant to the agreement, the Company will pay the swap counterparty a fixed rate of 4.11% in exchange for floating payments based on Term SOFR.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evaluated the aforementioned IRS contracts currently in place and did not designate those as cash flow hedges. Hence, the fair value changes of these IRS contracts are accounted for and recognized as a change in fair value of interest rate swap contracts in the consolidated statements of operations and comprehensive loss.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As of December 31, 2025, the Company determined that the fair values of the IRS contracts were $0.2 million in an asset position and $1.6 million in a liability position. As of December 31, 2024, the fair values of the IRS contracts were $0.5 million in an asset position and none in a liability position. The Company includes these in other long-term assets and other long-term liabilities, respectively, on the consolidated balance sheets.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9 - Long-Term Debt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Long-term debt at December 31, 2025 and December 31, 2024 is summarized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24"/>
        <w:gridCol w:w="542"/>
        <w:gridCol w:w="544"/>
        <w:gridCol w:w="109"/>
        <w:gridCol w:w="109"/>
        <w:gridCol w:w="109"/>
        <w:gridCol w:w="653"/>
        <w:gridCol w:w="631"/>
        <w:gridCol w:w="639"/>
        <w:gridCol w:w="109"/>
        <w:gridCol w:w="109"/>
        <w:gridCol w:w="109"/>
        <w:gridCol w:w="749"/>
        <w:gridCol w:w="749"/>
        <w:gridCol w:w="751"/>
        <w:gridCol w:w="109"/>
        <w:gridCol w:w="109"/>
        <w:gridCol w:w="109"/>
        <w:gridCol w:w="295"/>
        <w:gridCol w:w="1009"/>
        <w:gridCol w:w="152"/>
        <w:gridCol w:w="109"/>
        <w:gridCol w:w="109"/>
        <w:gridCol w:w="109"/>
        <w:gridCol w:w="275"/>
        <w:gridCol w:w="1076"/>
        <w:gridCol w:w="208"/>
      </w:tblGrid>
      <w:tr>
        <w:trPr/>
        <w:tc>
          <w:tcPr>
            <w:tcW w:w="62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Bank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Interest Rate at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2024</w:t>
            </w:r>
          </w:p>
        </w:tc>
      </w:tr>
      <w:tr>
        <w:trPr/>
        <w:tc>
          <w:tcPr>
            <w:tcW w:w="1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Bank of America </w:t>
            </w:r>
            <w:r>
              <w:rPr>
                <w:rFonts w:ascii="Arial;sans-serif" w:hAnsi="Arial;sans-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October 2026 - December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4.34% - 6.57%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1,981 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2,176 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East West Bank </w:t>
            </w:r>
            <w:r>
              <w:rPr>
                <w:rFonts w:ascii="Arial;sans-serif" w:hAnsi="Arial;sans-serif"/>
                <w:b w:val="false"/>
                <w:color w:val="000000"/>
                <w:sz w:val="16"/>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2027 - September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6.13% - 7.25%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5,331 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5,518 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JPMorgan Chase </w:t>
            </w:r>
            <w:r>
              <w:rPr>
                <w:rFonts w:ascii="Arial;sans-serif" w:hAnsi="Arial;sans-serif"/>
                <w:b w:val="false"/>
                <w:color w:val="000000"/>
                <w:sz w:val="16"/>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January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5.85%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96,196 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101,255 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financial institutions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2026 - July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6.60% - 7.70%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2,784 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debt, principal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106,292 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108,949 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debt, 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106,119 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108,734 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(6,683)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(5,410)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99,436 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103,324 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360"/>
        <w:jc w:val="both"/>
        <w:rPr/>
      </w:pPr>
      <w:r>
        <w:rPr>
          <w:rFonts w:ascii="Arial;sans-serif" w:hAnsi="Arial;sans-serif"/>
          <w:b w:val="false"/>
          <w:color w:val="000000"/>
          <w:sz w:val="16"/>
          <w:shd w:fill="FFFFFF" w:val="clear"/>
        </w:rPr>
        <w:t xml:space="preserve">(a)Loan balance consists of real estate term loan and equipment term loan, collateralized by one real property and specific equipment. </w:t>
      </w:r>
      <w:r>
        <w:rPr>
          <w:rFonts w:ascii="Arial;sans-serif" w:hAnsi="Arial;sans-serif"/>
          <w:b w:val="false"/>
          <w:color w:val="000000"/>
          <w:sz w:val="16"/>
        </w:rPr>
        <w:t xml:space="preserve">The real estate term loan is pegged to TERM SOFR + 2.50%. </w:t>
      </w:r>
    </w:p>
    <w:p>
      <w:pPr>
        <w:pStyle w:val="TextBody"/>
        <w:bidi w:val="0"/>
        <w:spacing w:lineRule="auto" w:line="288" w:before="0" w:after="0"/>
        <w:ind w:left="0" w:right="0" w:hanging="360"/>
        <w:jc w:val="both"/>
        <w:rPr/>
      </w:pPr>
      <w:r>
        <w:rPr>
          <w:rFonts w:ascii="Arial;sans-serif" w:hAnsi="Arial;sans-serif"/>
          <w:b w:val="false"/>
          <w:color w:val="000000"/>
          <w:sz w:val="16"/>
          <w:shd w:fill="FFFFFF" w:val="clear"/>
        </w:rPr>
        <w:t>(b)</w:t>
      </w:r>
      <w:r>
        <w:rPr>
          <w:rFonts w:ascii="Arial;sans-serif" w:hAnsi="Arial;sans-serif"/>
          <w:b w:val="false"/>
          <w:color w:val="000000"/>
          <w:sz w:val="16"/>
        </w:rPr>
        <w:t>Real estate term loans with East West Bank are collateralized by three real properties. Balloon payments of $1.9 million and $2.9 million are due at maturity in 2027 and 2029, respectively.</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(c)Real estate term loan with a principal balance of $96.2 million as of December 31, 2025 and $101.3 million as of December 31, 2024 is secured by assets held by the Company and has a maturity date of January 2030.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terms of the various loan agreements related to long-term bank borrowings require the Company to comply with certain financial covenants, including, but not limited to, a fixed charge coverage ratio and effective tangible net worth. As of December 31, 2025, the Company was in compliance with its covenants.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March 31, 2022, the Company amended the JPM Credit Agreement, defined below, extending the Real Estate Term Loan for five years. The amendment provided for an increase in the Real Estate Term Loan from $69.0 million to $115.0 million with a 1-month SOFR plus a credit adjustment of 0.10% plus 1.875% per annum.</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8"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future maturities of long-term debt as of December 31, 2025 are as follows:</w:t>
      </w:r>
    </w:p>
    <w:p>
      <w:pPr>
        <w:pStyle w:val="TextBody"/>
        <w:bidi w:val="0"/>
        <w:spacing w:before="0" w:after="0"/>
        <w:jc w:val="both"/>
        <w:rPr/>
      </w:pPr>
      <w:r>
        <w:rPr/>
      </w:r>
    </w:p>
    <w:tbl>
      <w:tblPr>
        <w:tblW w:w="3842" w:type="dxa"/>
        <w:jc w:val="left"/>
        <w:tblInd w:w="0" w:type="dxa"/>
        <w:tblLayout w:type="fixed"/>
        <w:tblCellMar>
          <w:top w:w="28" w:type="dxa"/>
          <w:left w:w="28" w:type="dxa"/>
          <w:bottom w:w="28" w:type="dxa"/>
          <w:right w:w="28" w:type="dxa"/>
        </w:tblCellMar>
      </w:tblPr>
      <w:tblGrid>
        <w:gridCol w:w="840"/>
        <w:gridCol w:w="741"/>
        <w:gridCol w:w="743"/>
        <w:gridCol w:w="109"/>
        <w:gridCol w:w="109"/>
        <w:gridCol w:w="109"/>
        <w:gridCol w:w="211"/>
        <w:gridCol w:w="826"/>
        <w:gridCol w:w="154"/>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r>
      <w:tr>
        <w:trPr/>
        <w:tc>
          <w:tcPr>
            <w:tcW w:w="2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Year ending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106,119 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Credit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November 4, 2019, the Company entered into a credit agreement with JPMorgan Chase (the “JPM Credit Agreement”). The JPM Credit Agreement provided for a $100.0 million asset-secured revolving credit facility maturing on November 4, 2022, with an option to renew at the bank’s discretion. On January 17, 2020, the Company and certain of the wholly-owned subsidiaries and affiliates of the Company as borrowers, and certain material subsidiaries of the Company as guarantors, entered into the Second Amended Credit Agreement. On December 30, 2021, the Company entered into the Consent, Waiver, Joinder and Amendment No. 3 to the Second Amended Credit Agreement with JPMorgan Chase, as Administrative Agent, and certain lender parties thereto, including Comerica Bank. The Second Amended Credit Agreement, as amended, provided for (i) a $125.0 million asset-secured revolving credit facility maturing on November 4, 2022 (the “Revolving Facility”), (ii) mortgage-secured term loan of $75.6 million, (the “Term Loan”), and (iii) amendment in the referenced interest rate from 1-month LIBOR to 1-month Secured Overnight Financing Rate (“SOFR”) plus a credit adjustment of 0.10% (difference between LIBOR and SOFR plus 1.375% per annum).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existing revolving credit facility balance under the Second Amended Credit Agreement, was rolled over to the Revolving Facility on December 30, 2021. On the same day, the Company utilized an additional $33.3 million drawdown from the Revolving Facility to fund the Great Wall Group acquisition. The Second Amended Credit Agreement, as amended, contains certain financial covenants, including, but not limited to, a fixed charge coverage ratio.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March 31, 2022, the Company entered into the Third Amended Credit Agreement extending the Revolving Facility for five years, with a maturity date of March 31, 2027. The Third Amended Credit Agreement provides for a $100.0 million asset-secured revolving credit facility with a one-month SOFR plus a credit adjustment of 0.10% plus 1.375% per annum. On February 6, 2024, the Company amended the Third Amended Credit Agreement to (i) remove a cap on permitted indebtedness in respect of capital lease obligations, subject to certain enumerated conditions; (ii) create a reserve on the borrowing base, which will be reduced on a dollar-for-dollar basis once the Company has made expenditures in excess of such amount relating to the development and construction of certain real property, and which amounts shall be excluded from certain financial covenants under the Third Amended Credit Agreement and; (iii) remove certain sublease income from various financial covenants. On July 15, 2024, the Company again amended the Third Amended Credit Agreement to (i) increase the issuing bank sublimit to $10.0 million and; (ii) modify the due date for a borrowing base certificate based on availability under the revolving credit facility. As of December 31, 2025, the Company was in compliance with its covenants. The outstanding principal balance on the line of credit as of December 31, 2025 was $55.8 million and outstanding letters of credit amounted to $8.0 million leaving access to approximately $61.2 million in additional funds through our $125.0 million line of credit, subject to a borrowing base calculation.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February 12, 2025, the Company amended certain terms and conditions of the Third Amended Credit Agreement, by, among other things, (i) increasing the Revolving Commitment (as defined in the Credit Agreement) from $100.0 million to $125.0 million, (ii) joining three new subsidiaries of the Company to the Credit Agreement, each as a “Borrower” thereunder, (iii) joining Wells Fargo Bank, N.A. to the credit agreement as a “Lender” thereunder, (iv) amending certain affirmative covenants commensurate with the increase in the Revolving Facility, and (v) amending certain restrictions regarding incurring obligations under real property leases and equipment financings in the ordinary course of business.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10 - Shareholders' Equity</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Common Stock</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had 100,000,000 shares of common stock authorized, with a par value of $0.0001 per share as of December 31, 2025 and 2024.</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On September 25, 2025, the Company entered into an At-the-Market (ATM) Sales Agreement with D.A. Davidson &amp; Co. and Roth Capital Partners, LLC, pursuant to which the Company may sell, from time to time, at its discretion, shares (the “Shares”) of the Company’s common stock, par value $0.0001 per share, having an aggregate offering price of up to $100.0 million,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9"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terms of the sales agreement. During the year ended December 31, 2025, the Company did not sell any Shares under the offering.</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Preferred Stock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had authorized 100,000 shares of Series A Participating Preferred Stock, with a par value of $0.001 per share and 1,000,000 shares of Preferred Stock, with a par value of $0.001 per share as of December 31, 2025 and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had no preferred stock outstanding as of December 31, 2025 or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11 - Earnings (Loss) Per Share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The Company computes earnings (loss) per share (“EPS”) in accordance with ASC Topic 260 (“ASC 260”), </w:t>
      </w:r>
      <w:r>
        <w:rPr>
          <w:rFonts w:ascii="Arial;sans-serif" w:hAnsi="Arial;sans-serif"/>
          <w:b w:val="false"/>
          <w:i/>
          <w:color w:val="000000"/>
          <w:sz w:val="18"/>
        </w:rPr>
        <w:t>Earnings per Share</w:t>
      </w:r>
      <w:r>
        <w:rPr>
          <w:rFonts w:ascii="Arial;sans-serif" w:hAnsi="Arial;sans-serif"/>
          <w:b w:val="false"/>
          <w:color w:val="000000"/>
          <w:sz w:val="18"/>
        </w:rPr>
        <w:t>. ASC 260 requires companies with complex capital structures to present basic and diluted EPS. Basic EPS is measured as net income (loss) divided by the weighted average common shares outstanding for the period. Diluted EPS is similar to basic EPS, but presents the dilutive effect on a per share basis of potential common shares (e.g., convertible securities, options, warrants and restricted stock) as if they had been converted at the beginning of the periods presented, or issuance date, if later. Potential common shares that have an anti-dilutive effect (i.e., those that increase income per share or decrease loss per share) are excluded from the calculation of diluted EPS. There were 918,880 and 1,325,443 potential common shares related to performance-based restricted stock units and restricted stock units that were excluded from the calculation of diluted EPS for the three months ended December 31, 2025 and 2024, respectively, because their effect could have been anti-dilutive. There were 1,279,680 and 1,482,062 potential common shares related to performance-based restricted stock units and restricted stock units that were excluded from the calculation of diluted EPS for the years ended December 31, 2025 and 2024, respectively, because their effect could have been anti-dilutive.</w:t>
      </w:r>
    </w:p>
    <w:p>
      <w:pPr>
        <w:pStyle w:val="TextBody"/>
        <w:bidi w:val="0"/>
        <w:spacing w:before="0" w:after="0"/>
        <w:jc w:val="both"/>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The following table sets forth the computation of basic and diluted EPS:</w:t>
      </w:r>
    </w:p>
    <w:tbl>
      <w:tblPr>
        <w:tblW w:w="8615" w:type="dxa"/>
        <w:jc w:val="left"/>
        <w:tblInd w:w="0" w:type="dxa"/>
        <w:tblLayout w:type="fixed"/>
        <w:tblCellMar>
          <w:top w:w="28" w:type="dxa"/>
          <w:left w:w="28" w:type="dxa"/>
          <w:bottom w:w="28" w:type="dxa"/>
          <w:right w:w="28" w:type="dxa"/>
        </w:tblCellMar>
      </w:tblPr>
      <w:tblGrid>
        <w:gridCol w:w="1511"/>
        <w:gridCol w:w="1327"/>
        <w:gridCol w:w="1331"/>
        <w:gridCol w:w="109"/>
        <w:gridCol w:w="109"/>
        <w:gridCol w:w="109"/>
        <w:gridCol w:w="191"/>
        <w:gridCol w:w="191"/>
        <w:gridCol w:w="370"/>
        <w:gridCol w:w="1396"/>
        <w:gridCol w:w="191"/>
        <w:gridCol w:w="109"/>
        <w:gridCol w:w="109"/>
        <w:gridCol w:w="109"/>
        <w:gridCol w:w="240"/>
        <w:gridCol w:w="841"/>
        <w:gridCol w:w="109"/>
        <w:gridCol w:w="109"/>
        <w:gridCol w:w="154"/>
      </w:tblGrid>
      <w:tr>
        <w:trPr/>
        <w:tc>
          <w:tcPr>
            <w:tcW w:w="1511"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1780" w:type="dxa"/>
            <w:gridSpan w:val="8"/>
            <w:tcBorders/>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in thousands, except share and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attributable to HF Foods Group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52,946,655 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52,552,490 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dilutive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52,946,655 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52,552,490 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60"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12 - Income Taxes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provision (benefit) for income taxes of the Company for the years ended December 31, 2025 and 2024 consists of the following:</w:t>
      </w:r>
    </w:p>
    <w:p>
      <w:pPr>
        <w:pStyle w:val="TextBody"/>
        <w:bidi w:val="0"/>
        <w:spacing w:before="0" w:after="0"/>
        <w:jc w:val="both"/>
        <w:rPr/>
      </w:pPr>
      <w:r>
        <w:rPr/>
      </w:r>
    </w:p>
    <w:tbl>
      <w:tblPr>
        <w:tblW w:w="5526" w:type="dxa"/>
        <w:jc w:val="left"/>
        <w:tblInd w:w="0" w:type="dxa"/>
        <w:tblLayout w:type="fixed"/>
        <w:tblCellMar>
          <w:top w:w="28" w:type="dxa"/>
          <w:left w:w="28" w:type="dxa"/>
          <w:bottom w:w="28" w:type="dxa"/>
          <w:right w:w="28" w:type="dxa"/>
        </w:tblCellMar>
      </w:tblPr>
      <w:tblGrid>
        <w:gridCol w:w="1058"/>
        <w:gridCol w:w="932"/>
        <w:gridCol w:w="934"/>
        <w:gridCol w:w="217"/>
        <w:gridCol w:w="711"/>
        <w:gridCol w:w="112"/>
        <w:gridCol w:w="112"/>
        <w:gridCol w:w="112"/>
        <w:gridCol w:w="112"/>
        <w:gridCol w:w="217"/>
        <w:gridCol w:w="634"/>
        <w:gridCol w:w="112"/>
        <w:gridCol w:w="109"/>
        <w:gridCol w:w="154"/>
      </w:tblGrid>
      <w:tr>
        <w:trPr/>
        <w:tc>
          <w:tcPr>
            <w:tcW w:w="105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w:t>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Federal</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State</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income taxes (benefit)</w:t>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(386)</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income taxes (benefit):</w:t>
            </w:r>
          </w:p>
        </w:tc>
        <w:tc>
          <w:tcPr>
            <w:tcW w:w="10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Federal</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(3,768)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State</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income taxes (benefit):</w:t>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(5,584)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income tax expense (benefit)</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(5,970)</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1,965 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paid for income taxes (net of refunds received) by jurisdiction after the prospective adoption of ASU 2023-09 for the year ended December 31, 2025 is as follows:</w:t>
      </w:r>
    </w:p>
    <w:p>
      <w:pPr>
        <w:pStyle w:val="TextBody"/>
        <w:bidi w:val="0"/>
        <w:spacing w:before="0" w:after="0"/>
        <w:jc w:val="left"/>
        <w:rPr/>
      </w:pPr>
      <w:r>
        <w:rPr/>
      </w:r>
    </w:p>
    <w:tbl>
      <w:tblPr>
        <w:tblW w:w="5771" w:type="dxa"/>
        <w:jc w:val="left"/>
        <w:tblInd w:w="0" w:type="dxa"/>
        <w:tblLayout w:type="fixed"/>
        <w:tblCellMar>
          <w:top w:w="28" w:type="dxa"/>
          <w:left w:w="28" w:type="dxa"/>
          <w:bottom w:w="28" w:type="dxa"/>
          <w:right w:w="28" w:type="dxa"/>
        </w:tblCellMar>
      </w:tblPr>
      <w:tblGrid>
        <w:gridCol w:w="1480"/>
        <w:gridCol w:w="1306"/>
        <w:gridCol w:w="1309"/>
        <w:gridCol w:w="109"/>
        <w:gridCol w:w="109"/>
        <w:gridCol w:w="109"/>
        <w:gridCol w:w="336"/>
        <w:gridCol w:w="767"/>
        <w:gridCol w:w="246"/>
      </w:tblGrid>
      <w:tr>
        <w:trPr/>
        <w:tc>
          <w:tcPr>
            <w:tcW w:w="1480"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Year ended </w:t>
              <w:br/>
              <w:t>December 31,</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Arizona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Colorado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Illinois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Carolina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Texas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Utah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states (individually less than 5% of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income taxes paid, net of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Company’s effective income tax rates for the years ended December 31, 2025 and 2024 were 13.2% and (4.3)%, respectively. The determination of the Company’s overall effective income tax rate requires the use of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effective income tax rate reflects the income earned and taxed in U.S. federal and various state jurisdictions based on enacted tax law, permanent differences between book and tax items, tax credits and the Company’s change in relative income in each jurisdiction. Changes in tax laws and rates may affect recorded deferred tax assets and liabilities and the Company’s effective income tax rate in the future. The Company has immaterial operations outside the U.S., as such, no foreign income tax was recorded.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provision for income taxes differed from the amount obtained by applying the statutory U.S. federal income tax rate to income before income taxes. The reconciliations of the statutory income tax rate to the effective income tax rate reflecting the prospective adoption of ASU 2023-09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61"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58</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tbl>
      <w:tblPr>
        <w:tblW w:w="8235" w:type="dxa"/>
        <w:jc w:val="left"/>
        <w:tblInd w:w="0" w:type="dxa"/>
        <w:tblLayout w:type="fixed"/>
        <w:tblCellMar>
          <w:top w:w="28" w:type="dxa"/>
          <w:left w:w="28" w:type="dxa"/>
          <w:bottom w:w="28" w:type="dxa"/>
          <w:right w:w="28" w:type="dxa"/>
        </w:tblCellMar>
      </w:tblPr>
      <w:tblGrid>
        <w:gridCol w:w="1817"/>
        <w:gridCol w:w="1602"/>
        <w:gridCol w:w="1606"/>
        <w:gridCol w:w="109"/>
        <w:gridCol w:w="109"/>
        <w:gridCol w:w="109"/>
        <w:gridCol w:w="270"/>
        <w:gridCol w:w="885"/>
        <w:gridCol w:w="139"/>
        <w:gridCol w:w="139"/>
        <w:gridCol w:w="139"/>
        <w:gridCol w:w="139"/>
        <w:gridCol w:w="291"/>
        <w:gridCol w:w="294"/>
        <w:gridCol w:w="433"/>
        <w:gridCol w:w="154"/>
      </w:tblGrid>
      <w:tr>
        <w:trPr/>
        <w:tc>
          <w:tcPr>
            <w:tcW w:w="1817"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4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 statutory tax rate (21%)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(9,509)</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State and local income tax, net of federal income tax effect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Nontaxable or Nondeductible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compensation limit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Meals and 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nontaxable or nondeductible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unrecognized tax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(5,970)</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360"/>
        <w:jc w:val="both"/>
        <w:rPr/>
      </w:pPr>
      <w:r>
        <w:rPr>
          <w:rFonts w:ascii="Arial;sans-serif" w:hAnsi="Arial;sans-serif"/>
          <w:b w:val="false"/>
          <w:color w:val="000000"/>
          <w:sz w:val="10"/>
        </w:rPr>
        <w:t>(1)    </w:t>
      </w:r>
      <w:r>
        <w:rPr>
          <w:rFonts w:ascii="Arial;sans-serif" w:hAnsi="Arial;sans-serif"/>
          <w:b w:val="false"/>
          <w:color w:val="000000"/>
          <w:sz w:val="16"/>
        </w:rPr>
        <w:t>State taxes in CA made up the majority (greater than 50 percent) of the tax effect in this category</w:t>
      </w:r>
    </w:p>
    <w:p>
      <w:pPr>
        <w:pStyle w:val="TextBody"/>
        <w:bidi w:val="0"/>
        <w:spacing w:before="0" w:after="0"/>
        <w:ind w:left="0" w:right="0" w:hanging="36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reconciliation from the statutory U.S. federal tax rate to our effective income tax rate prior to the adoption of ASU 2023-09 is as follows (in thousands, except percentages):</w:t>
      </w:r>
    </w:p>
    <w:p>
      <w:pPr>
        <w:pStyle w:val="TextBody"/>
        <w:bidi w:val="0"/>
        <w:spacing w:before="0" w:after="0"/>
        <w:jc w:val="both"/>
        <w:rPr/>
      </w:pPr>
      <w:r>
        <w:rPr/>
      </w:r>
    </w:p>
    <w:tbl>
      <w:tblPr>
        <w:tblW w:w="4788" w:type="dxa"/>
        <w:jc w:val="left"/>
        <w:tblInd w:w="0" w:type="dxa"/>
        <w:tblLayout w:type="fixed"/>
        <w:tblCellMar>
          <w:top w:w="28" w:type="dxa"/>
          <w:left w:w="28" w:type="dxa"/>
          <w:bottom w:w="28" w:type="dxa"/>
          <w:right w:w="28" w:type="dxa"/>
        </w:tblCellMar>
      </w:tblPr>
      <w:tblGrid>
        <w:gridCol w:w="968"/>
        <w:gridCol w:w="849"/>
        <w:gridCol w:w="853"/>
        <w:gridCol w:w="109"/>
        <w:gridCol w:w="109"/>
        <w:gridCol w:w="109"/>
        <w:gridCol w:w="109"/>
        <w:gridCol w:w="293"/>
        <w:gridCol w:w="293"/>
        <w:gridCol w:w="724"/>
        <w:gridCol w:w="109"/>
        <w:gridCol w:w="109"/>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Year Ended</w:t>
              <w:br/>
              <w:t>December 31,</w:t>
            </w:r>
          </w:p>
        </w:tc>
        <w:tc>
          <w:tcPr>
            <w:tcW w:w="372" w:type="dxa"/>
            <w:gridSpan w:val="3"/>
            <w:tcBorders/>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Federal statutory tax rate (21%)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State statutory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7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U.S permanent differences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7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7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Officers’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7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Rate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7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7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7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Uncertain tax positions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7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7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Dissolution of HFFI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7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SEC Settlement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7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Goodwill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(21.1)</w:t>
            </w:r>
          </w:p>
        </w:tc>
        <w:tc>
          <w:tcPr>
            <w:tcW w:w="7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62"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Temporary differences and carryforwards of the Company that created significant deferred tax assets and liabilities are as follows:</w:t>
      </w:r>
    </w:p>
    <w:tbl>
      <w:tblPr>
        <w:tblW w:w="8287" w:type="dxa"/>
        <w:jc w:val="left"/>
        <w:tblInd w:w="0" w:type="dxa"/>
        <w:tblLayout w:type="fixed"/>
        <w:tblCellMar>
          <w:top w:w="28" w:type="dxa"/>
          <w:left w:w="28" w:type="dxa"/>
          <w:bottom w:w="28" w:type="dxa"/>
          <w:right w:w="28" w:type="dxa"/>
        </w:tblCellMar>
      </w:tblPr>
      <w:tblGrid>
        <w:gridCol w:w="1464"/>
        <w:gridCol w:w="1291"/>
        <w:gridCol w:w="1294"/>
        <w:gridCol w:w="109"/>
        <w:gridCol w:w="109"/>
        <w:gridCol w:w="109"/>
        <w:gridCol w:w="334"/>
        <w:gridCol w:w="1263"/>
        <w:gridCol w:w="172"/>
        <w:gridCol w:w="109"/>
        <w:gridCol w:w="109"/>
        <w:gridCol w:w="109"/>
        <w:gridCol w:w="330"/>
        <w:gridCol w:w="1245"/>
        <w:gridCol w:w="240"/>
      </w:tblGrid>
      <w:tr>
        <w:trPr/>
        <w:tc>
          <w:tcPr>
            <w:tcW w:w="146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Allowance for expected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Compensation related accruals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Fair value change in 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11,657 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4,956 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 limitation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2,297 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operating loss carryforwards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17,119 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11,214 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(9,895)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(6,751)</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(24,417)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(30,609)</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Right 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(6,080)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(2,646)</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Fair value change in 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(430)</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(40,927)</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(40,606)</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(23,808)</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(29,392)</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December 31, 2025, the Company had federal and various state net operating loss (“NOL”) carryforwards of $5.5 million and $1.9 million, respectively. The federal net operating loss carryforwards do not expire, while the state net operating loss carryforwards have various expiration dates. In addition, the Company had federal tax credit carryforwards of approximately $0.1 million. As of December 31, 2024, the Company had no federal or state net operating loss carryforwards.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During the year ended December 31, 2025, management concluded that it was more likely than not that the Company would be able to realize the benefit of the deferred tax assets in the future. We based this conclusion on historical and projected operating performance, as well as our expectation that our operations will generate sufficient taxable income and gains in future periods to realize the tax benefits associated with the deferred tax assets. As such, no valuation allowances have been recorded in the aforementioned tax years.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will continue to assess the need for a valuation allowance in the future by evaluating both positive and negative evidence that may exist.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Unrecognized Tax Benefits</w:t>
      </w:r>
    </w:p>
    <w:p>
      <w:pPr>
        <w:pStyle w:val="TextBody"/>
        <w:bidi w:val="0"/>
        <w:spacing w:before="0" w:after="0"/>
        <w:jc w:val="both"/>
        <w:rPr/>
      </w:pPr>
      <w:r>
        <w:rPr/>
      </w:r>
    </w:p>
    <w:tbl>
      <w:tblPr>
        <w:tblW w:w="7652" w:type="dxa"/>
        <w:jc w:val="left"/>
        <w:tblInd w:w="0" w:type="dxa"/>
        <w:tblLayout w:type="fixed"/>
        <w:tblCellMar>
          <w:top w:w="28" w:type="dxa"/>
          <w:left w:w="28" w:type="dxa"/>
          <w:bottom w:w="28" w:type="dxa"/>
          <w:right w:w="28" w:type="dxa"/>
        </w:tblCellMar>
      </w:tblPr>
      <w:tblGrid>
        <w:gridCol w:w="1828"/>
        <w:gridCol w:w="1611"/>
        <w:gridCol w:w="1615"/>
        <w:gridCol w:w="268"/>
        <w:gridCol w:w="516"/>
        <w:gridCol w:w="138"/>
        <w:gridCol w:w="138"/>
        <w:gridCol w:w="138"/>
        <w:gridCol w:w="138"/>
        <w:gridCol w:w="268"/>
        <w:gridCol w:w="593"/>
        <w:gridCol w:w="138"/>
        <w:gridCol w:w="109"/>
        <w:gridCol w:w="154"/>
      </w:tblGrid>
      <w:tr>
        <w:trPr/>
        <w:tc>
          <w:tcPr>
            <w:tcW w:w="182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thousands)</w:t>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unrecognized tax benefits on January 1,</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Decrease related to positions taken on items from prior years</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Increase related to positions taken in the current year</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unrecognized tax benefits on December 31,</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63"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has no unrecognized tax benefits as of December 31, 2025 and 2024. This is due to the statute of limitations expiring as of December 31, 2024 on previously unrecognized tax benefits.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recognizes interest and penalties related to unrecognized tax positions in income tax expense. As of December 31, 2025 and 2024, the Company had no accrued penalties or interest. During the year ended December 31, 2024, the Company reversed all remaining accrued penalties and accrued interest related to unrecognized tax benefits as an income tax benefit.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December 31, 2025, the Company’s U.S. federal and state income tax returns for tax years 2022 through 2024 remain subject to examination by tax authorities.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13 - Related Party Transactions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makes regular purchases from and sales to various related parties. Related party affiliations were attributed to transactions conducted between the Company and those business entities partially or wholly owned by the Company, the Company’s officers and/or shareholders who owned no less than 10% shareholdings of the Company.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believes that Mr. Xiao Mou Zhang (“Mr. Zhang”), the former Chief Executive Officer through October 24, 2024, together with certain of his immediate family members are collectively beneficial owners of more than 10% of the Company’s outstanding common stock, and they have ownership interests in various related parties involved in (i) the distribution of food and related products to restaurants and other retailers and (ii) the supply of fresh food, frozen food, and packaging supplies to distributors. Mr. Zhang does not have any involvement in negotiations with any of the above-mentioned related parties.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believes that Mr. Zhou Min Ni (“Mr. Ni”), the Company’s former Co-Chief Executive Officer, together with various trusts for the benefit of Mr. Ni’s four children, are collectively beneficial owners of more than 10% of the outstanding shares of the Company’s common stock, and he and certain of his immediate family members have ownership interests in related parties involved in (i) the distribution of food and related products to restaurants and other retailers and (ii) the supply of fresh food, frozen food, and packaging supplies to distributors.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related party transactions as of December 31, 2025 and December 31, 2024 and for the years ended December 31, 2025 and 2024, are identified as follows:</w:t>
      </w:r>
    </w:p>
    <w:p>
      <w:pPr>
        <w:pStyle w:val="TextBody"/>
        <w:bidi w:val="0"/>
        <w:spacing w:before="0" w:after="0"/>
        <w:jc w:val="both"/>
        <w:rPr/>
      </w:pPr>
      <w:r>
        <w:rPr/>
      </w:r>
    </w:p>
    <w:p>
      <w:pPr>
        <w:pStyle w:val="TextBody"/>
        <w:bidi w:val="0"/>
        <w:spacing w:lineRule="auto" w:line="268" w:before="0" w:after="0"/>
        <w:jc w:val="both"/>
        <w:rPr>
          <w:rFonts w:ascii="Arial;sans-serif" w:hAnsi="Arial;sans-serif"/>
          <w:b/>
          <w:i/>
          <w:color w:val="000000"/>
          <w:sz w:val="18"/>
        </w:rPr>
      </w:pPr>
      <w:r>
        <w:rPr>
          <w:rFonts w:ascii="Arial;sans-serif" w:hAnsi="Arial;sans-serif"/>
          <w:b/>
          <w:i/>
          <w:color w:val="000000"/>
          <w:sz w:val="18"/>
        </w:rPr>
        <w:t>Related Party Sales, Purchases, and Lease Agreements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Purchases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Below is a summary of purchases of goods and services from related parties recorded for the years ended December 31, 2025 and 2024, respectively:</w:t>
      </w:r>
    </w:p>
    <w:tbl>
      <w:tblPr>
        <w:tblW w:w="10205" w:type="dxa"/>
        <w:jc w:val="left"/>
        <w:tblInd w:w="0" w:type="dxa"/>
        <w:tblLayout w:type="fixed"/>
        <w:tblCellMar>
          <w:top w:w="28" w:type="dxa"/>
          <w:left w:w="28" w:type="dxa"/>
          <w:bottom w:w="28" w:type="dxa"/>
          <w:right w:w="28" w:type="dxa"/>
        </w:tblCellMar>
      </w:tblPr>
      <w:tblGrid>
        <w:gridCol w:w="124"/>
        <w:gridCol w:w="109"/>
        <w:gridCol w:w="109"/>
        <w:gridCol w:w="1629"/>
        <w:gridCol w:w="1629"/>
        <w:gridCol w:w="1636"/>
        <w:gridCol w:w="109"/>
        <w:gridCol w:w="109"/>
        <w:gridCol w:w="109"/>
        <w:gridCol w:w="230"/>
        <w:gridCol w:w="230"/>
        <w:gridCol w:w="231"/>
        <w:gridCol w:w="109"/>
        <w:gridCol w:w="109"/>
        <w:gridCol w:w="109"/>
        <w:gridCol w:w="165"/>
        <w:gridCol w:w="165"/>
        <w:gridCol w:w="165"/>
        <w:gridCol w:w="165"/>
        <w:gridCol w:w="322"/>
        <w:gridCol w:w="942"/>
        <w:gridCol w:w="165"/>
        <w:gridCol w:w="109"/>
        <w:gridCol w:w="109"/>
        <w:gridCol w:w="109"/>
        <w:gridCol w:w="211"/>
        <w:gridCol w:w="616"/>
        <w:gridCol w:w="109"/>
        <w:gridCol w:w="109"/>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1535" w:type="dxa"/>
            <w:gridSpan w:val="8"/>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Nature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w:t>
            </w:r>
          </w:p>
        </w:tc>
        <w:tc>
          <w:tcPr>
            <w:tcW w:w="4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Asahi Food,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w:t>
            </w:r>
          </w:p>
        </w:tc>
        <w:tc>
          <w:tcPr>
            <w:tcW w:w="4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Conexus Food Solutions LLC (formerly known as Best Food Services,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w:t>
            </w:r>
          </w:p>
        </w:tc>
        <w:tc>
          <w:tcPr>
            <w:tcW w:w="4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Ocean Pacific Seafood Group,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w:t>
            </w:r>
          </w:p>
        </w:tc>
        <w:tc>
          <w:tcPr>
            <w:tcW w:w="4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Rainfield Ranches,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4,615 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360"/>
        <w:jc w:val="both"/>
        <w:rPr/>
      </w:pPr>
      <w:r>
        <w:rPr>
          <w:rFonts w:ascii="Arial;sans-serif" w:hAnsi="Arial;sans-serif"/>
          <w:b w:val="false"/>
          <w:color w:val="000000"/>
          <w:sz w:val="16"/>
          <w:shd w:fill="FFFFFF" w:val="clear"/>
        </w:rPr>
        <w:t>(a)</w:t>
      </w:r>
      <w:r>
        <w:rPr>
          <w:rFonts w:ascii="Arial;sans-serif" w:hAnsi="Arial;sans-serif"/>
          <w:b w:val="false"/>
          <w:color w:val="000000"/>
          <w:sz w:val="16"/>
        </w:rPr>
        <w:t>The Company, through its subsidiary Mountain Food, LLC, owns an equity interest in this entity.</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(b)An equity interest is held by three Irrevocable Trusts for the benefit of Mr. Zhang’s children.</w:t>
      </w:r>
    </w:p>
    <w:p>
      <w:pPr>
        <w:pStyle w:val="TextBody"/>
        <w:bidi w:val="0"/>
        <w:spacing w:lineRule="auto" w:line="288" w:before="0" w:after="0"/>
        <w:ind w:left="0" w:right="0" w:hanging="360"/>
        <w:jc w:val="both"/>
        <w:rPr/>
      </w:pPr>
      <w:r>
        <w:rPr>
          <w:rFonts w:ascii="Arial;sans-serif" w:hAnsi="Arial;sans-serif"/>
          <w:b w:val="false"/>
          <w:color w:val="000000"/>
          <w:sz w:val="16"/>
          <w:shd w:fill="FFFFFF" w:val="clear"/>
        </w:rPr>
        <w:t>(c)</w:t>
      </w:r>
      <w:r>
        <w:rPr>
          <w:rFonts w:ascii="Arial;sans-serif" w:hAnsi="Arial;sans-serif"/>
          <w:b w:val="false"/>
          <w:color w:val="000000"/>
          <w:sz w:val="16"/>
        </w:rPr>
        <w:t>Mr. Zhou Min Ni owns an equity interest in this entity.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4605" cy="14605"/>
                <wp:effectExtent l="0" t="0" r="0" b="0"/>
                <wp:wrapNone/>
                <wp:docPr id="64" name="Frame62"/>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Sales</w:t>
      </w:r>
    </w:p>
    <w:p>
      <w:pPr>
        <w:pStyle w:val="TextBody"/>
        <w:bidi w:val="0"/>
        <w:spacing w:before="0" w:after="0"/>
        <w:ind w:left="0" w:right="0" w:hanging="36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Below is a summary of sales to related parties recorded for the years ended December 31, 2025 and 2024, respectively: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915"/>
        <w:gridCol w:w="1915"/>
        <w:gridCol w:w="1923"/>
        <w:gridCol w:w="109"/>
        <w:gridCol w:w="109"/>
        <w:gridCol w:w="109"/>
        <w:gridCol w:w="178"/>
        <w:gridCol w:w="178"/>
        <w:gridCol w:w="178"/>
        <w:gridCol w:w="178"/>
        <w:gridCol w:w="347"/>
        <w:gridCol w:w="1013"/>
        <w:gridCol w:w="178"/>
        <w:gridCol w:w="109"/>
        <w:gridCol w:w="109"/>
        <w:gridCol w:w="109"/>
        <w:gridCol w:w="211"/>
        <w:gridCol w:w="616"/>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1533" w:type="dxa"/>
            <w:gridSpan w:val="8"/>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w:t>
            </w:r>
          </w:p>
        </w:tc>
        <w:tc>
          <w:tcPr>
            <w:tcW w:w="57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ABC Food Trading, LLC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w:t>
            </w:r>
          </w:p>
        </w:tc>
        <w:tc>
          <w:tcPr>
            <w:tcW w:w="5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Asahi Food,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w:t>
            </w:r>
          </w:p>
        </w:tc>
        <w:tc>
          <w:tcPr>
            <w:tcW w:w="5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Conexus Food Solutions LLC (formerly known as Best Food Services, LLC)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w:t>
            </w:r>
          </w:p>
        </w:tc>
        <w:tc>
          <w:tcPr>
            <w:tcW w:w="5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First Choice Seafood,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w:t>
            </w:r>
          </w:p>
        </w:tc>
        <w:tc>
          <w:tcPr>
            <w:tcW w:w="5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Fortune One Foods,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w:t>
            </w:r>
          </w:p>
        </w:tc>
        <w:tc>
          <w:tcPr>
            <w:tcW w:w="5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Ocean Pacific Seafood Group,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4,489 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540"/>
        <w:jc w:val="both"/>
        <w:rPr/>
      </w:pPr>
      <w:r>
        <w:rPr>
          <w:rFonts w:ascii="Arial;sans-serif" w:hAnsi="Arial;sans-serif"/>
          <w:b w:val="false"/>
          <w:color w:val="000000"/>
          <w:sz w:val="16"/>
          <w:shd w:fill="FFFFFF" w:val="clear"/>
        </w:rPr>
        <w:t>(a)</w:t>
      </w:r>
      <w:r>
        <w:rPr>
          <w:rFonts w:ascii="Arial;sans-serif" w:hAnsi="Arial;sans-serif"/>
          <w:b w:val="false"/>
          <w:color w:val="000000"/>
          <w:sz w:val="16"/>
        </w:rPr>
        <w:t>An equity interest is held by three Irrevocable Trusts for the benefit of Mr. Zhang’s children.</w:t>
      </w:r>
    </w:p>
    <w:p>
      <w:pPr>
        <w:pStyle w:val="TextBody"/>
        <w:bidi w:val="0"/>
        <w:spacing w:lineRule="auto" w:line="288" w:before="0" w:after="0"/>
        <w:ind w:left="0" w:right="0" w:hanging="540"/>
        <w:jc w:val="both"/>
        <w:rPr>
          <w:rFonts w:ascii="Arial;sans-serif" w:hAnsi="Arial;sans-serif"/>
          <w:b w:val="false"/>
          <w:color w:val="000000"/>
          <w:sz w:val="16"/>
        </w:rPr>
      </w:pPr>
      <w:r>
        <w:rPr>
          <w:rFonts w:ascii="Arial;sans-serif" w:hAnsi="Arial;sans-serif"/>
          <w:b w:val="false"/>
          <w:color w:val="000000"/>
          <w:sz w:val="16"/>
        </w:rPr>
        <w:t>(b)The Company, through its subsidiary Mountain Food, LLC, owns an equity interest in this entity.</w:t>
      </w:r>
    </w:p>
    <w:p>
      <w:pPr>
        <w:pStyle w:val="TextBody"/>
        <w:bidi w:val="0"/>
        <w:spacing w:lineRule="auto" w:line="288" w:before="0" w:after="0"/>
        <w:ind w:left="0" w:right="0" w:hanging="540"/>
        <w:jc w:val="both"/>
        <w:rPr/>
      </w:pPr>
      <w:r>
        <w:rPr>
          <w:rFonts w:ascii="Arial;sans-serif" w:hAnsi="Arial;sans-serif"/>
          <w:b w:val="false"/>
          <w:color w:val="000000"/>
          <w:sz w:val="16"/>
          <w:shd w:fill="FFFFFF" w:val="clear"/>
        </w:rPr>
        <w:t>(c)</w:t>
      </w:r>
      <w:r>
        <w:rPr>
          <w:rFonts w:ascii="Arial;sans-serif" w:hAnsi="Arial;sans-serif"/>
          <w:b w:val="false"/>
          <w:color w:val="000000"/>
          <w:sz w:val="16"/>
        </w:rPr>
        <w:t>Mr. Zhou Min Ni owns an equity interest in this entity indirectly through its parent company.</w:t>
      </w:r>
    </w:p>
    <w:p>
      <w:pPr>
        <w:pStyle w:val="TextBody"/>
        <w:bidi w:val="0"/>
        <w:spacing w:lineRule="auto" w:line="288" w:before="0" w:after="0"/>
        <w:ind w:left="0" w:right="0" w:hanging="540"/>
        <w:jc w:val="both"/>
        <w:rPr>
          <w:rFonts w:ascii="Arial;sans-serif" w:hAnsi="Arial;sans-serif"/>
          <w:b w:val="false"/>
          <w:color w:val="000000"/>
          <w:sz w:val="16"/>
        </w:rPr>
      </w:pPr>
      <w:r>
        <w:rPr>
          <w:rFonts w:ascii="Arial;sans-serif" w:hAnsi="Arial;sans-serif"/>
          <w:b w:val="false"/>
          <w:color w:val="000000"/>
          <w:sz w:val="16"/>
        </w:rPr>
        <w:t xml:space="preserve">(d)Mr. Zhou Min Ni owns an equity interest in this entity.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Lease Agreements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leases various facilities to related parties.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In 2020, the Company renewed a warehouse lease from Yoan Chang Trading Inc. under an operating lease agreement which expired on December 31, 2020. In February 2021, the Company executed a new five-year operating lease agreement with Yoan Chang Trading Inc., effective January 1, 2021 which expired on December 31, 2025. Rent expense, which is included in distribution, selling and administrative expenses in the consolidated statements of operations and comprehensive loss, was $0.3 million for both the years ended December 31, 2025 and 2024.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Beginning 2014, the Company leased a warehouse to Asahi Food, Inc. under a commercial lease agreement which was rescinded March 1, 2020. A new commercial lease agreement for a period of one year was entered into, expiring February 28, 2021, with a total of four renewal periods with each term being one year. The lease term was extended by an addendum dated September 1, 2023, which extended the lease through September 1, 2025. A second addendum, executed effective September 1, 2025, was enacted during the third quarter which extends the expiration of the lease by one year to September 1, 2026. Rental income was $0.1 million for both the years ended December 31, 2025 and 2024, which is included in other expense (income), net in the consolidated statements of operations and comprehensive loss.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Related Party Balances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Accounts Receivable - Related Parties, Net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Below is a summary of accounts receivable with related parties recorded as of December 31, 2025 and December 31, 2024, respectively: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918"/>
        <w:gridCol w:w="1918"/>
        <w:gridCol w:w="1926"/>
        <w:gridCol w:w="109"/>
        <w:gridCol w:w="109"/>
        <w:gridCol w:w="109"/>
        <w:gridCol w:w="455"/>
        <w:gridCol w:w="1006"/>
        <w:gridCol w:w="236"/>
        <w:gridCol w:w="109"/>
        <w:gridCol w:w="109"/>
        <w:gridCol w:w="109"/>
        <w:gridCol w:w="441"/>
        <w:gridCol w:w="977"/>
        <w:gridCol w:w="3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w:t>
            </w:r>
          </w:p>
        </w:tc>
        <w:tc>
          <w:tcPr>
            <w:tcW w:w="57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ABC Food Trading,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w:t>
            </w:r>
          </w:p>
        </w:tc>
        <w:tc>
          <w:tcPr>
            <w:tcW w:w="5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Asahi Food,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w:t>
            </w:r>
          </w:p>
        </w:tc>
        <w:tc>
          <w:tcPr>
            <w:tcW w:w="5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Conexus Food Solutions LLC (formerly known as Best Food Services,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540"/>
        <w:jc w:val="both"/>
        <w:rPr/>
      </w:pPr>
      <w:r>
        <w:rPr>
          <w:rFonts w:ascii="Arial;sans-serif" w:hAnsi="Arial;sans-serif"/>
          <w:b w:val="false"/>
          <w:color w:val="000000"/>
          <w:sz w:val="16"/>
          <w:shd w:fill="FFFFFF" w:val="clear"/>
        </w:rPr>
        <w:t>(a)</w:t>
      </w:r>
      <w:r>
        <w:rPr>
          <w:rFonts w:ascii="Arial;sans-serif" w:hAnsi="Arial;sans-serif"/>
          <w:b w:val="false"/>
          <w:color w:val="000000"/>
          <w:sz w:val="16"/>
        </w:rPr>
        <w:t>An equity interest is held by three Irrevocable Trusts for the benefit of Mr. Zhang’s children.</w:t>
      </w:r>
    </w:p>
    <w:p>
      <w:pPr>
        <w:pStyle w:val="TextBody"/>
        <w:bidi w:val="0"/>
        <w:spacing w:lineRule="auto" w:line="288" w:before="0" w:after="0"/>
        <w:ind w:left="0" w:right="0" w:hanging="540"/>
        <w:jc w:val="both"/>
        <w:rPr>
          <w:rFonts w:ascii="Arial;sans-serif" w:hAnsi="Arial;sans-serif"/>
          <w:b w:val="false"/>
          <w:color w:val="000000"/>
          <w:sz w:val="16"/>
        </w:rPr>
      </w:pPr>
      <w:r>
        <w:rPr>
          <w:rFonts w:ascii="Arial;sans-serif" w:hAnsi="Arial;sans-serif"/>
          <w:b w:val="false"/>
          <w:color w:val="000000"/>
          <w:sz w:val="16"/>
        </w:rPr>
        <w:t>(b)The Company, through its subsidiary Mountain Food, LLC, owns an equity interest in this entity.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All accounts receivable from these related parties are current and considered fully collectible. No allowance is deemed necessary as of December 31, 2025 and December 31,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65"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Line of Credit Note - Related Parties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issued a $51,000 line of credit note to Asahi Food, Inc. on November 1, 2024, which is outstanding at December 31, 2025 and included in other current assets in the consolidated balance sheet. Interest shall accrue at a rate of 7.25% per annum with monthly payments of interest only due beginning December 1, 2024 and continuing through the first day of each calendar month until the maturity date. The note was extended for an additional twelve months during the fourth quarter and will become due on October 31, 2026. Interest income was $4,005 and $308 for the years ended December 31, 2025 and 2024, respectively, which is included in other income (expense), net in the consolidated statements of operations and comprehensive loss.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Accounts Payable - Related Parties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All the accounts payable to related parties are payable upon demand without interest. Below is a summary of accounts payable with related parties recorded as of December 31, 2025 and December 31, 2024, respectively: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915"/>
        <w:gridCol w:w="1915"/>
        <w:gridCol w:w="1923"/>
        <w:gridCol w:w="109"/>
        <w:gridCol w:w="109"/>
        <w:gridCol w:w="109"/>
        <w:gridCol w:w="457"/>
        <w:gridCol w:w="1009"/>
        <w:gridCol w:w="236"/>
        <w:gridCol w:w="109"/>
        <w:gridCol w:w="109"/>
        <w:gridCol w:w="109"/>
        <w:gridCol w:w="507"/>
        <w:gridCol w:w="868"/>
        <w:gridCol w:w="3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w:t>
            </w:r>
          </w:p>
        </w:tc>
        <w:tc>
          <w:tcPr>
            <w:tcW w:w="57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Conexus Food Solutions LLC (formerly known as Best Food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540"/>
        <w:jc w:val="both"/>
        <w:rPr/>
      </w:pPr>
      <w:r>
        <w:rPr>
          <w:rFonts w:ascii="Arial;sans-serif" w:hAnsi="Arial;sans-serif"/>
          <w:b w:val="false"/>
          <w:color w:val="000000"/>
          <w:sz w:val="16"/>
          <w:shd w:fill="FFFFFF" w:val="clear"/>
        </w:rPr>
        <w:t>(a)</w:t>
      </w:r>
      <w:r>
        <w:rPr>
          <w:rFonts w:ascii="Arial;sans-serif" w:hAnsi="Arial;sans-serif"/>
          <w:b w:val="false"/>
          <w:color w:val="000000"/>
          <w:sz w:val="16"/>
        </w:rPr>
        <w:t>An equity interest is held by three Irrevocable Trusts for the benefit of Mr. Zhang’s children.</w:t>
      </w:r>
    </w:p>
    <w:p>
      <w:pPr>
        <w:pStyle w:val="TextBody"/>
        <w:bidi w:val="0"/>
        <w:spacing w:before="0" w:after="0"/>
        <w:ind w:left="0" w:right="0" w:hanging="180"/>
        <w:jc w:val="both"/>
        <w:rPr/>
      </w:pPr>
      <w:r>
        <w:rPr/>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14 - Stock-Based Compensation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2021, the Company began issuing awards under the HF Foods Group Inc. 2018 Omnibus Equity Incentive Plan (the “2018 Incentive Plan”), which reserved up to 3,000,000 shares of the Company’s common stock for issuance of awards to employees and non-employee directors. On June 3, 2024, the Company’s shareholders approved an amendment to the 2018 Incentive Plan which increased the number of shares of the Company’s common stock available for issuance under the 2018 Incentive Plan to 7,000,000, an increase of 4,000,000 shares. The 2018 Incentive Plan provides for the grant of incentive stock options, non-statutory stock options, restricted stock awards, restricted stock unit awards, stock appreciation rights, other stock awards, and performance awards that may be settled in stock, or other property.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As of December 31, 2025, the Company had 578,891 time-based vesting restricted stock units (“RSUs”) unvested, 950,465 performance-based restricted stock units (“PSUs”) unvested, and 1,515,321 shares of common stock vested leaving 3,955,323 shares remaining available for future awards under the 2018 Incentive Plan.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RSUs granted to employees vest over time based on continued service (vesting over a period between one to three years in equal installments). PSUs granted to employees vest based on (i) the attainment of certain financial metrics, as defined by the Company’s compensation committee (“Financial PSUs”) and (ii) for the 2021 grants, total shareholder return of the Company’s common stock (“TSR PSUs”). Both types of PSUs vest over three years in equal installments based on the performance metrics established for each year and also require continued service for vesting.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 summary of RSU and PSU activity for the year ended December 31, 2025 is as follows:</w:t>
      </w:r>
    </w:p>
    <w:p>
      <w:pPr>
        <w:pStyle w:val="TextBody"/>
        <w:bidi w:val="0"/>
        <w:spacing w:before="0" w:after="0"/>
        <w:jc w:val="both"/>
        <w:rPr/>
      </w:pPr>
      <w:r>
        <w:rPr/>
      </w:r>
    </w:p>
    <w:tbl>
      <w:tblPr>
        <w:tblW w:w="8679" w:type="dxa"/>
        <w:jc w:val="left"/>
        <w:tblInd w:w="0" w:type="dxa"/>
        <w:tblLayout w:type="fixed"/>
        <w:tblCellMar>
          <w:top w:w="28" w:type="dxa"/>
          <w:left w:w="28" w:type="dxa"/>
          <w:bottom w:w="28" w:type="dxa"/>
          <w:right w:w="28" w:type="dxa"/>
        </w:tblCellMar>
      </w:tblPr>
      <w:tblGrid>
        <w:gridCol w:w="1188"/>
        <w:gridCol w:w="1046"/>
        <w:gridCol w:w="1050"/>
        <w:gridCol w:w="109"/>
        <w:gridCol w:w="109"/>
        <w:gridCol w:w="109"/>
        <w:gridCol w:w="449"/>
        <w:gridCol w:w="451"/>
        <w:gridCol w:w="241"/>
        <w:gridCol w:w="109"/>
        <w:gridCol w:w="109"/>
        <w:gridCol w:w="109"/>
        <w:gridCol w:w="864"/>
        <w:gridCol w:w="2097"/>
        <w:gridCol w:w="639"/>
      </w:tblGrid>
      <w:tr>
        <w:trPr/>
        <w:tc>
          <w:tcPr>
            <w:tcW w:w="118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 Grant Date Fair Value</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Unvested RSUs at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619,932 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382,803 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(162,115)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(261,729)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Unvested RSUs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578,891 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1445"/>
                <wp:effectExtent l="0" t="0" r="0" b="0"/>
                <wp:wrapNone/>
                <wp:docPr id="66"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w:t>
                      </w:r>
                    </w:p>
                  </w:txbxContent>
                </v:textbox>
                <w10:wrap type="none"/>
              </v:rect>
            </w:pict>
          </mc:Fallback>
        </mc:AlternateContent>
      </w:r>
    </w:p>
    <w:p>
      <w:pPr>
        <w:pStyle w:val="TextBody"/>
        <w:bidi w:val="0"/>
        <w:spacing w:before="0" w:after="0"/>
        <w:jc w:val="left"/>
        <w:rPr/>
      </w:pPr>
      <w:r>
        <w:rPr/>
      </w:r>
    </w:p>
    <w:tbl>
      <w:tblPr>
        <w:tblW w:w="8665" w:type="dxa"/>
        <w:jc w:val="left"/>
        <w:tblInd w:w="0" w:type="dxa"/>
        <w:tblLayout w:type="fixed"/>
        <w:tblCellMar>
          <w:top w:w="28" w:type="dxa"/>
          <w:left w:w="28" w:type="dxa"/>
          <w:bottom w:w="28" w:type="dxa"/>
          <w:right w:w="28" w:type="dxa"/>
        </w:tblCellMar>
      </w:tblPr>
      <w:tblGrid>
        <w:gridCol w:w="1183"/>
        <w:gridCol w:w="1042"/>
        <w:gridCol w:w="1045"/>
        <w:gridCol w:w="109"/>
        <w:gridCol w:w="109"/>
        <w:gridCol w:w="109"/>
        <w:gridCol w:w="449"/>
        <w:gridCol w:w="451"/>
        <w:gridCol w:w="241"/>
        <w:gridCol w:w="109"/>
        <w:gridCol w:w="109"/>
        <w:gridCol w:w="109"/>
        <w:gridCol w:w="864"/>
        <w:gridCol w:w="2097"/>
        <w:gridCol w:w="639"/>
      </w:tblGrid>
      <w:tr>
        <w:trPr/>
        <w:tc>
          <w:tcPr>
            <w:tcW w:w="118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 Grant Date Fair Value</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Unvested PSUs at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579,075 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3.71 </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643,826 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(188,787)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(83,649)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Unvested PSUs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950,465 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weighted-average grant date fair value per share of RSUs granted during the years ended December 31, 2025 and 2024 was $3.89 and $3.52, respectively. The weighted-average grant date fair value per share of PSUs granted during the years ended December 31, 2025 and 2024 was $1.72 and $3.55, respectively. The total fair value of equity based awards that vested during the years ended December 31, 2025, and 2024 was $1.3 million and $2.0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val="false"/>
          <w:color w:val="000000"/>
          <w:sz w:val="18"/>
        </w:rPr>
        <w:t xml:space="preserve">The Company accounts for stock-based compensation in accordance with ASC Topic 718 </w:t>
      </w:r>
      <w:r>
        <w:rPr>
          <w:rFonts w:ascii="Arial;sans-serif" w:hAnsi="Arial;sans-serif"/>
          <w:b w:val="false"/>
          <w:i/>
          <w:color w:val="000000"/>
          <w:sz w:val="18"/>
        </w:rPr>
        <w:t>Compensation - Stock Compensation</w:t>
      </w:r>
      <w:r>
        <w:rPr>
          <w:color w:val="000000"/>
        </w:rPr>
        <w:t xml:space="preserve"> </w:t>
      </w:r>
      <w:r>
        <w:rPr>
          <w:rFonts w:ascii="Arial;sans-serif" w:hAnsi="Arial;sans-serif"/>
          <w:b w:val="false"/>
          <w:color w:val="000000"/>
          <w:sz w:val="18"/>
        </w:rPr>
        <w:t>(“ASC 718”). ASC 718 addresses all forms of share-based payment awards including shares issued under employee stock purchase plans and stock incentive shares. The fair value of the RSUs and Financial PSUs are measured using the closing price of the Company’s common stock on NASDAQ Global Capital Market on the grant date. The fair value of TSR PSUs are determined using a Monte Carlo simulation model. No TSR PSUs were granted during the years ended December 31, 2025 and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fair value of RSUs are amortized on a straight-line basis over the requisite service period for each award. For the PSUs, the Company recognizes stock-based compensation expense on a straight-line basis for each vesting tranche over the longer of the derived, explicit, or implicit service period for the vesting tranche. As of interim and annual reporting periods, the Financial PSUs stock-based compensation expense is adjusted based on expected achievement of performance targets, while TSR PSUs stock-based compensation expense is not adjusted. The Company recognizes forfeitures as they occur.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Stock-based compensation expense is included in distribution, selling and administrative expenses in the Company’s consolidated statements of operations and comprehensive loss. The components of stock-based compensation expense for the years ended December 31, 2025 and 2024 were as follows:</w:t>
      </w:r>
    </w:p>
    <w:p>
      <w:pPr>
        <w:pStyle w:val="TextBody"/>
        <w:bidi w:val="0"/>
        <w:spacing w:before="0" w:after="0"/>
        <w:jc w:val="both"/>
        <w:rPr/>
      </w:pPr>
      <w:r>
        <w:rPr/>
      </w:r>
    </w:p>
    <w:tbl>
      <w:tblPr>
        <w:tblW w:w="8997" w:type="dxa"/>
        <w:jc w:val="left"/>
        <w:tblInd w:w="0" w:type="dxa"/>
        <w:tblLayout w:type="fixed"/>
        <w:tblCellMar>
          <w:top w:w="28" w:type="dxa"/>
          <w:left w:w="28" w:type="dxa"/>
          <w:bottom w:w="28" w:type="dxa"/>
          <w:right w:w="28" w:type="dxa"/>
        </w:tblCellMar>
      </w:tblPr>
      <w:tblGrid>
        <w:gridCol w:w="1518"/>
        <w:gridCol w:w="1339"/>
        <w:gridCol w:w="1342"/>
        <w:gridCol w:w="109"/>
        <w:gridCol w:w="109"/>
        <w:gridCol w:w="109"/>
        <w:gridCol w:w="128"/>
        <w:gridCol w:w="249"/>
        <w:gridCol w:w="727"/>
        <w:gridCol w:w="128"/>
        <w:gridCol w:w="249"/>
        <w:gridCol w:w="727"/>
        <w:gridCol w:w="128"/>
        <w:gridCol w:w="211"/>
        <w:gridCol w:w="616"/>
        <w:gridCol w:w="109"/>
        <w:gridCol w:w="211"/>
        <w:gridCol w:w="616"/>
        <w:gridCol w:w="109"/>
        <w:gridCol w:w="109"/>
        <w:gridCol w:w="154"/>
      </w:tblGrid>
      <w:tr>
        <w:trPr/>
        <w:tc>
          <w:tcPr>
            <w:tcW w:w="1518"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2135" w:type="dxa"/>
            <w:gridSpan w:val="8"/>
            <w:tcBorders/>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(RSUs)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(PSUs)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benefit of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As of December 31, 2025, there was $2.6 million of total unrecognized compensation cost related to all non-vested outstanding RSUs and PSUs outstanding under the 2018 Incentive Plan, with a weighted average remaining service period of 1.75 years. Of the total unrecognized compensation cost, $1.4 million is related to RSUs with time-based vesting provisions and $1.2 million is related to PSUs with performance-based vesting provisions.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15 - Employee Benefit Plan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sponsors a defined contribution plan, the HF Foods Group, Inc. Employees 401(k) Savings Plan (the “401(k) Plan”). Under the 401(k) Plan, after one month of service, eligible employees may elect to defer up to 100% of their compensation before taxes, up to the dollar limit imposed by the Internal Revenue Service for tax purposes. The Company matches 100% of an eligible employee’s contributions, dollar for dollar, up to 3% of eligible pay, plus 50% of each additional dollar greater than 3% and no more than 5% of eligible pay. 401(k) Plan participants are immediately 100% vested in the Company’s non-discretionary contributions to the plan. For the years ended December 31, 2025 and 2024, the Company recognized expense of $1.3 million and $1.2 million, respectively, in distribution, selling and administrative expenses in the consolidated statements of operations and comprehensive loss.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445"/>
                <wp:effectExtent l="0" t="0" r="0" b="0"/>
                <wp:wrapNone/>
                <wp:docPr id="67"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16 - Segment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Company’s business consists of one operating segment, which is also its one reportable segment. The Company operates solely in the United States and derives revenues by providing sales of food and non-food to customers. The segment’s customer base consists primarily of Asian restaurants located throughout the United States. The Company’s chief operating decision maker (“CODM”) is its chief executive officer, who reviews financial information presented on a consolidated basis. The CODM uses consolidated net (loss) income to assess financial performance and allocate resources. The Company’s measure of segment assets is total assets, as reported on the consolidated balance sheets. </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presents selected financial information with respect to the Company’s single operating segment for the years ended December 31, 2025 and 2024:</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81"/>
        <w:gridCol w:w="1843"/>
        <w:gridCol w:w="1845"/>
        <w:gridCol w:w="109"/>
        <w:gridCol w:w="109"/>
        <w:gridCol w:w="153"/>
        <w:gridCol w:w="153"/>
        <w:gridCol w:w="296"/>
        <w:gridCol w:w="1374"/>
        <w:gridCol w:w="153"/>
        <w:gridCol w:w="109"/>
        <w:gridCol w:w="109"/>
        <w:gridCol w:w="109"/>
        <w:gridCol w:w="211"/>
        <w:gridCol w:w="976"/>
        <w:gridCol w:w="109"/>
        <w:gridCol w:w="109"/>
        <w:gridCol w:w="157"/>
      </w:tblGrid>
      <w:tr>
        <w:trPr/>
        <w:tc>
          <w:tcPr>
            <w:tcW w:w="2281"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1,228,282 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1,020,706 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Payroll and related labor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97,956 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12,677 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15,705 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segment expenses </w:t>
            </w:r>
            <w:r>
              <w:rPr>
                <w:rFonts w:ascii="Arial;sans-serif" w:hAnsi="Arial;sans-serif"/>
                <w:b w:val="false"/>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67,194 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 selling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201,762 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38,815 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guarantee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LOSS AND COMPREHENSIVE LOSS ATTRIBUTABLE TO HF FOODS GROUP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(38,843)</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36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(a)Other segment expenses include distribution, selling and administrative expenses which are not provided to the chief operating decision maker on a regular basis. These expenses include primarily auto &amp; truck expense, insurance, occupancy expense and utilities.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1445"/>
                <wp:effectExtent l="0" t="0" r="0" b="0"/>
                <wp:wrapNone/>
                <wp:docPr id="68" name="Frame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65</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17 - Commitments and Contingencies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From time to time, the Company is a party to various lawsuits, claims and other legal proceedings that arise in the ordinary course of business. When the Company becomes aware of a claim or potential claim, it assesses the likelihood of any loss or exposure. In accordance with authoritative guidance, the Company records loss contingencies in its financial statements only for matters in which losses are probable and can be reasonably estimated. Where a range of loss can be reasonably estimated with no best estimate in the range, the Company records the minimum estimated liability. If the loss is not probable or the amount of the loss cannot be reasonably estimated, the Company discloses the nature of the specific claim if the likelihood of a potential loss is reasonably possible and the amount involved is material. The Company continuously assesses the potential liability related to its pending litigation and revises its estimates when additional information becomes available. Adverse outcomes in some or all of these matters may result in significant monetary damages or injunctive relief against the Company that could adversely affect its ability to conduct business. There also exists the possibility of a material adverse effect on the Company’s financial statements for the period in which the effect of an unfavorable outcome becomes probable and reasonably estimable. Legal costs associated with loss contingencies are expensed as incurred.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On June 6, 2024, the SEC announced that it had accepted an Offer of Settlement submitted by the Company in order to resolve the previously disclosed formal, non-public SEC investigation of allegations that the Company and certain of its former directors and officers violated the Securities Exchange Act of 1934 and Rule 10b-5 promulgated thereunder by making allegedly false and misleading statements. Under the settlement, without admitting or denying the SEC’s findings in this matter, the Company consented to the entry of an administrative civil cease-and-desist order by the SEC (the “Order”) with respect to violations of Sections 17(a) of the Securities Act, and of Sections 10(b), 13(a), 13(b)(2)(A), 13(b)(2)(B), and 14(a) of the Securities Exchange Act of 1934, as amended, and Rules 10b-5, 12b-20, 13a-1, 13a-11, 13a-13, 13a-15(a), and 14a-9 thereunder, resulting from the materially false and misleading disclosures and other fraudulent conduct implemented by its former Chairman and CEO Zhou Min Ni and former CFO Jian Ming “Jonathan” Ni. During the quarter ended June 30, 2024 the Company agreed to and paid a civil monetary penalty of $3.9 million, which was recorded in other expense (income), net in the Company’s consolidated statements of operations and comprehensive loss.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Order states that, in determining to accept the Company’s Offer of Settlement, the SEC considered the numerous remedial actions promptly undertaken by the Company and its cooperation during the investigation. The Company’s resolution follows charges brought by the SEC against the two former executives in a District Court action filed on June 3, 2024. As a result of the SEC’s district court complaint against them, the two former executives agreed to pay civil fines and disgorgement, and agreed to be subject to officer and director bars. Zhou Min Ni also agreed to a conduct-based injunction which enjoins him from directly or indirectly participating in the management of, or otherwise exercising any control of influence over the Company. The Special Litigation Committee of the Board of Directors previously obtained a monetary settlement from the former executives that was ratified by the Delaware Chancery Court.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i/>
          <w:color w:val="000000"/>
          <w:sz w:val="18"/>
        </w:rPr>
      </w:pPr>
      <w:r>
        <w:rPr>
          <w:rFonts w:ascii="Arial;sans-serif" w:hAnsi="Arial;sans-serif"/>
          <w:b/>
          <w:i/>
          <w:color w:val="000000"/>
          <w:sz w:val="18"/>
        </w:rPr>
        <w:t>AnHeart Lease Matter</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rPr>
        <w:t xml:space="preserve">In connection with lease arrangements relating to properties located at 273 Fifth Avenue and 275 Fifth Avenue in Manhattan, New York, (see </w:t>
      </w:r>
      <w:r>
        <w:rPr>
          <w:rFonts w:ascii="Arial;sans-serif" w:hAnsi="Arial;sans-serif"/>
          <w:b w:val="false"/>
          <w:i/>
          <w:color w:val="000000"/>
          <w:sz w:val="18"/>
        </w:rPr>
        <w:t>Note 6 - Leases</w:t>
      </w:r>
      <w:r>
        <w:rPr>
          <w:color w:val="000000"/>
        </w:rPr>
        <w:t xml:space="preserve"> </w:t>
      </w:r>
      <w:r>
        <w:rPr>
          <w:rFonts w:ascii="Arial;sans-serif" w:hAnsi="Arial;sans-serif"/>
          <w:b w:val="false"/>
          <w:color w:val="000000"/>
          <w:sz w:val="18"/>
        </w:rPr>
        <w:t>for details) the Company previously guaranteed certain obligations of AnHeart, Inc. under those leases. Following AnHeart’s default under the 275 Fifth Avenue lease in 2022, the Company performed under its guaranty and pursued remedies to recover amounts it believes are owed under contractual and related arrangements.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February 25, 2022, the Company initiated legal proceedings against AnHeart, Inc. and Minsheng Pharmaceutical Group Company, Ltd. (“Minsheng”), who in 2019 executed on behalf of AnHeart, an unconditional guaranty of all liabilities arising from the leases, in favor of the Company. In March 2022, that proceeding was stayed in connection with certain payment commitments being made by AnHeart. After such payment commitments were not satisfied, the Company commenced a new action in New York County Supreme Court on October 25, 2023 against AnHeart and Minsheng seeking recovery of amounts alleged to be due under the relevant arrangements. The parties subsequently entered into a settlement arrangement providing for specified monthly payments through December 2025, after which regular monthly rental payments were to resume in accordance with the applicable lease terms.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continues to evaluate and pursue its rights and remedies with respect to these matters. The ultimate outcome cannot be predicted with certainty. Based on information currently available, management does not believe that the resolution of this matter will have a material adverse effect on the Company’s consolidated financial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Other Commitments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December 31, 2025, the Company had additional automobile leases that had not yet commenced which total $0.8 million in future minimum lease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445"/>
                <wp:effectExtent l="0" t="0" r="0" b="0"/>
                <wp:wrapNone/>
                <wp:docPr id="69" name="Frame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18 - Subsequent Events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Purchase of Chicago Warehouse and Toledo Cross-dock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January 30, 2026, the Company closed on the purchase of two facilities it currently operates and had previously leased located in Elk Grove Village, Illinois and Toledo, Ohio. The Elk Grove facility serves as one of our distribution centers and was purchased for a price of $9.0 million. The Toledo facility serves as one of our cross docks and was purchased for a price of $3.5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Utah Building Sale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On February 12, 2026, the Company closed on the sale of land and a building it owned in West Jordan, Utah. The final sale was for a total of $4.4 million. The assets which were subject to sale were classified as held for sale on the Company’s consolidated balance sheets as of December 31, 2025. The gain realized on the sale of these assets will be recorded in other income during the first quarter of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70" name="Frame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9A.    CONTROLS AND PROCEDURES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management, including our principal executive officer and principal financial and accounting officer, conducted an evaluation of the effectiveness of our internal controls over financial reporting, and disclosure controls and procedures, as such term is defined in Rules 13a-15(e) and 15d-15(e) under the Exchange Act, as of the end of the period covered by this report. Based on that evaluation our principal executive officer and principal financial and accounting officer concluded that, due to the material weaknesses described below, our disclosure controls and procedures were not effective at the reasonable assurance level as of December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Management’s Annual Report on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Management is responsible for establishing and maintaining adequate internal control over financial reporting, as defined in Rules 13a-15(f) and 15d-15(f) of the Exchange Act. Our internal control over financial reporting is a process designed under the supervision of our principal executive officer and principal financial and accounting officer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Because of its inherent limitations, internal control over financial reporting may not detect or prevent misstatements. Also, projections of any evaluation of the effectiveness to future periods are subject to risk that controls may become inadequate because of changes in conditions, or that the degree of compliance with the policies or procedures may deteriorate.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As of December 31, 2025, management assessed the effectiveness of our internal controls over financial reporting based on the criteria for effective internal control over financial reporting established in “Internal Control - Integrated Framework”, issued by the Committee of Sponsoring Organizations (“COSO”) of the Treadway Commission in 2013.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Based on this assessment, management concluded that the Company’s internal control over financial reporting was not effective as of December 31, 2025, due to material weaknesses in internal control over financial reporting, as described below.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As previously reported, we identified the following material weakness, which continues to exist as of December 31, 2025.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did not maintain appropriately designed entity-level controls impacting the (1) control activities and (2) monitoring activities to prevent or detect material misstatements to the financial statements and assess whether the components of internal control were present and functioning properly. The entity-level material weaknesses resulted in the following material weaknesses over aspects of our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did not properly design or maintain effective controls over (i) the recording of revenue and accounts receivable, (ii) the review of journal entries, (iii) the accounting for new leases, and (iv) the impairment analysis of long-lived assets, including the review of underlying data and assumptions for completeness and accuracy.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Remediation Activities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Under the oversight of the Audit Committee of the Board of Directors, management has continued implementing a comprehensive remediation program during 2025 to strengthen the Company’s internal control over financial reporting.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u w:val="single"/>
        </w:rPr>
      </w:pPr>
      <w:r>
        <w:rPr>
          <w:rFonts w:ascii="Arial;sans-serif" w:hAnsi="Arial;sans-serif"/>
          <w:b/>
          <w:color w:val="000000"/>
          <w:sz w:val="18"/>
          <w:u w:val="single"/>
        </w:rPr>
        <w:t>Remediation of Previously Identified Material Weaknesses: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Completion of the remediation of previously identified IT general control material weaknesses, including enhancements to logical access, segregation of duties, change management, and system implementation controls.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Transition from legacy operational systems to upgraded ERP platforms across distribution centers, improving automation, standardization, and financial reporting reliability.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Comprehensive validation of critical master data, including supplier, customer, and employee records, to improve the integrity of financial reporting inputs.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Standardization and redesign of financial reporting controls across distribution centers to promote consistent execution and documentation.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445"/>
                <wp:effectExtent l="0" t="0" r="0" b="0"/>
                <wp:wrapNone/>
                <wp:docPr id="71" name="Frame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Expanded internal accounting and finance personnel, including the addition of senior leaders who hold certified public accountant (CPA) designation with significant public company and SEC reporting experience, to strengthen oversight and control execution.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Defined clear control ownership and accountability across Accounting, IT, and Operations to enhance monitoring of control performance.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As a result of these efforts, including system improvements, process standardization, and enhanced financial reporting oversight, our previously identified material weaknesses in entity-level controls related to the control environment, risk assessment procedures, and information and communication were remediated.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u w:val="single"/>
        </w:rPr>
      </w:pPr>
      <w:r>
        <w:rPr>
          <w:rFonts w:ascii="Arial;sans-serif" w:hAnsi="Arial;sans-serif"/>
          <w:b/>
          <w:color w:val="000000"/>
          <w:sz w:val="18"/>
          <w:u w:val="single"/>
        </w:rPr>
        <w:t>Remediation Plan for Current Material Weaknesses: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Governance and Monitoring Enhancements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Continue operation of a Remediation Steering Committee, chaired by executive leadership, which will meet regularly to oversee remediation progress, track deficiencies, and monitor progress against defined milestones.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Continue use of the previously implemented structured deficiency tracking and evaluation process to assess control deficiencies, determine severity, and monitor remediation status.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Remediation Focus Areas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Further strengthen controls over revenue recognition and accounts receivable, including improvements to invoice validation procedures, monitoring of revenue transactions across distribution centers, and reconciliation processes between operational systems and financial records.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Enhance review controls related to lease accounting and long-lived asset impairment assessments, including additional validation of key data and assumptions used in these analyses.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Improve the precision and consistency of journal entry review procedures to ensure that potential errors are identified and corrected in a timely manner.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Management is committed to ensuring that our internal controls over financial reporting are designed and operating effectively and believes the efforts taken to date and certain measures that are in progress have improved the effectiveness of our internal controls over financial reporting and mitigate risks of material misstatement. Management will continue to test the design and operating effectiveness of these controls and make further enhancements as necessary.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effectiveness of our internal control over financial reporting as of December 31, 2025 has been audited by BDO USA, P.C., an independent registered public accounting firm, as stated in their attestation report, which is included in Part II, Item 8 of this Annual Report on Form 10-K.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Changes in Internal Controls Over Financial Reporting and Disclosure Controls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Management remains committed to ongoing efforts to address material weaknesses. Although we will continue to implement measures to remedy our internal control deficiencies, there can be no assurance that our efforts will be successful or avoid potential future material weaknesses. In addition, until remediation steps have been completed and operated for a sufficient period of time, and subsequent evaluation of their effectiveness is completed, the material weaknesses previously identified will continue to exist.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Other than the actions taken to continue our material weaknesses remediation efforts, described above, there were no changes in our internal control over financial reporting (as defined in Rules 13a-15(f) and 15d-15(f) under the Exchange Act) during the quarter ended December 31, 2025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1445"/>
                <wp:effectExtent l="0" t="0" r="0" b="0"/>
                <wp:wrapNone/>
                <wp:docPr id="72" name="Frame7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Report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Shareholders and Board of Directors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HF Foods Group Inc.</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Las Vegas, Nevada</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Opinion on Internal Control over Financial Reporting</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We have audited HF Foods Group Inc.’s (the “Company’s”) internal control over financial reporting as of December 31, 2025, based on criteria established in </w:t>
      </w:r>
      <w:r>
        <w:rPr>
          <w:rFonts w:ascii="Arial;sans-serif" w:hAnsi="Arial;sans-serif"/>
          <w:b w:val="false"/>
          <w:i/>
          <w:color w:val="000000"/>
          <w:sz w:val="18"/>
        </w:rPr>
        <w:t>Internal Control – Integrated Framework (2013)</w:t>
      </w:r>
      <w:r>
        <w:rPr>
          <w:color w:val="000000"/>
        </w:rPr>
        <w:t xml:space="preserve"> </w:t>
      </w:r>
      <w:r>
        <w:rPr>
          <w:rFonts w:ascii="Arial;sans-serif" w:hAnsi="Arial;sans-serif"/>
          <w:b w:val="false"/>
          <w:color w:val="000000"/>
          <w:sz w:val="18"/>
        </w:rPr>
        <w:t>issued by the Committee of Sponsoring Organizations of the Treadway Commission (the “COSO criteria”). In our opinion, the Company did not maintain, in all material respects, effective internal control over financial reporting as of December 31, 2025, based on the COSO criteria.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do not express an opinion or any other form of assurance on management’s statements referring to any corrective actions taken by the Company after the date of management’s assessment.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also have audited, in accordance with the standards of the Public Company Accounting Oversight Board (United States) (PCAOB), the consolidated balance sheets of the Company as of December 31, 2025 and 2024, the related consolidated statements of operations and comprehensive loss, changes in shareholders’ equity, and cash flows for each of the years then ended, and the related notes (collectively referred to as the “consolidated financial statements”) and our report dated March 16, 2026 expressed an unqualified opinion thereon.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Basis for Opinion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Company’s management is responsible for maintaining effective internal control over financial reporting and for its assessment of the effectiveness of internal control over financial reporting, included in the accompanying “Item 9A,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the accompanying Management’s Report on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did not maintain appropriately designed entity-level controls impacting the (1) control activities and (2) monitoring activities to prevent or detect material misstatements to the financial statements and assess whether the components of internal control were present and functioning properly. These entity-level material weaknesses resulted in the following material weaknesses over aspects of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did not design or maintain effective controls over the recording of revenue and accounts receivable, the review of journal entries, the accounting for new leases, and the impairment analysis of long-lived assets, including the review of underlying data and assumptions for completeness and accuracy.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These material weaknesses were considered in determining the nature, timing, and extent of audit tests applied in our audit of the 2025 consolidated financial statements, and this report does not affect our report dated March 16, 2026 on those consolidated financial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Definition and Limitations of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1445"/>
                <wp:effectExtent l="0" t="0" r="0" b="0"/>
                <wp:wrapNone/>
                <wp:docPr id="73" name="Frame7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 BDO USA, P.C.</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Troy, Michigan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March 16,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1445"/>
                <wp:effectExtent l="0" t="0" r="0" b="0"/>
                <wp:wrapNone/>
                <wp:docPr id="74" name="Frame7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9B.    OTHER INFORMATION</w:t>
      </w:r>
    </w:p>
    <w:p>
      <w:pPr>
        <w:pStyle w:val="TextBody"/>
        <w:bidi w:val="0"/>
        <w:spacing w:before="0" w:after="0"/>
        <w:ind w:left="0" w:right="0" w:hanging="144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During the quarter ended December 31, 2025, no director or officer of the Company adopted or terminated a “Rule 10b5-1 trading arrangement” or a “non-Rule 10b5-1 trading arrangement” (in each case, as defined in Item 408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9C.    DISCLOSURE REGARDING FOREIGN JURISDICTIONS THAT PREVENT INSPECTIONS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1445"/>
                <wp:effectExtent l="0" t="0" r="0" b="0"/>
                <wp:wrapNone/>
                <wp:docPr id="75" name="Frame7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10.    DIRECTORS, EXECUTIVE OFFICERS AND CORPORATE GOVERNANCE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Information required by this Item (other than certain information required by Item 401 of Regulation S-K with respect to our executive officers, which is provided under Item 1 of Part I of this Annual Report on Form 10-K under “Information about our Executive Officers”) will be included in our Proxy Statement for the 2026 Annual Meeting of Stockholders to be filed with the SEC, within 120 days of the fiscal year ended December 31, 2025, and is incorporated herein by reference.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has a Code of Conduct and Business Ethics (the “Code”) that applies to our directors, officers, and employees. A copy of the Code is available on our official website at https://hffoodsgroup.com. We intend to disclose any amendments or waivers of the Code on our website within four (4) business days.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has an insider trading policy that governs the purchase, sale, and/or other disposition of our securities and is applicable to our directors, officers, employees, and other covered persons. The Company believes its insider trading policy is reasonably designed to promote compliance with insider trading laws, rules, and regulations, and listing standards applicable to the Company. A copy of the Company’s insider trading policy is filed as Exhibit 19.1 to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11.    EXECUTIVE COMPENSATION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Information required by this Item will be included in our Proxy Statement for the 2026 Annual Meeting of Stockholders to be filed with the SEC, within 120 days of the fiscal year ended December 31, 2025,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Information required by this Item will be included in our Proxy Statement for the 2026 Annual Meeting of Stockholders to be filed with the SEC, within 120 days of the fiscal year ended December 31, 2025,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Information required by this Item will be included in our Proxy Statement for the 2026 Annual Meeting of Stockholders to be filed with the SEC, within 120 days of the fiscal year ended December 31, 2025,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14.    PRINCIPAL ACCOUNTING FEES AND SERVICES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Information required by this Item will be included in our Proxy Statement for the 2026 Annual Meeting of Stockholders to be filed with the SEC, within 120 days of the fiscal year ended December 31, 2025,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15.     EXHIBITS AND FINANCIAL STATEMENT SCHEDULES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have filed the following documents as part of this Annual Report on Form 10-K:</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color w:val="000000"/>
          <w:sz w:val="18"/>
        </w:rPr>
      </w:pPr>
      <w:r>
        <w:rPr>
          <w:rFonts w:ascii="Arial;sans-serif" w:hAnsi="Arial;sans-serif"/>
          <w:b/>
          <w:color w:val="000000"/>
          <w:sz w:val="18"/>
        </w:rPr>
        <w:t>1.Consolidated Financial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See Index to Consolidated Financial Statements in Part II, Item 8 of this Annual Report on Form 10-K.</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color w:val="000000"/>
          <w:sz w:val="18"/>
        </w:rPr>
      </w:pPr>
      <w:r>
        <w:rPr>
          <w:rFonts w:ascii="Arial;sans-serif" w:hAnsi="Arial;sans-serif"/>
          <w:b/>
          <w:color w:val="000000"/>
          <w:sz w:val="18"/>
        </w:rPr>
        <w:t>2.Financial Statement Schedules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All financial statement schedules have been omitted, since the required information is not applicable or is not present in amounts sufficient to require submission of the schedule, or because the information required is included in the consolidated financial statements and accompanying notes in this Annual Report on Form 10-K. </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color w:val="000000"/>
          <w:sz w:val="18"/>
        </w:rPr>
      </w:pPr>
      <w:r>
        <w:rPr>
          <w:rFonts w:ascii="Arial;sans-serif" w:hAnsi="Arial;sans-serif"/>
          <w:b/>
          <w:color w:val="000000"/>
          <w:sz w:val="18"/>
        </w:rPr>
        <w:t>3.Exhibits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exhibits are incorporated herein by reference or are filed or furnished with this report as indicated below: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91"/>
        <w:gridCol w:w="430"/>
        <w:gridCol w:w="434"/>
        <w:gridCol w:w="109"/>
        <w:gridCol w:w="109"/>
        <w:gridCol w:w="109"/>
        <w:gridCol w:w="1579"/>
        <w:gridCol w:w="1579"/>
        <w:gridCol w:w="1596"/>
        <w:gridCol w:w="109"/>
        <w:gridCol w:w="109"/>
        <w:gridCol w:w="109"/>
        <w:gridCol w:w="175"/>
        <w:gridCol w:w="175"/>
        <w:gridCol w:w="176"/>
        <w:gridCol w:w="150"/>
        <w:gridCol w:w="150"/>
        <w:gridCol w:w="150"/>
        <w:gridCol w:w="295"/>
        <w:gridCol w:w="295"/>
        <w:gridCol w:w="296"/>
        <w:gridCol w:w="150"/>
        <w:gridCol w:w="150"/>
        <w:gridCol w:w="150"/>
        <w:gridCol w:w="323"/>
        <w:gridCol w:w="323"/>
        <w:gridCol w:w="325"/>
        <w:gridCol w:w="159"/>
      </w:tblGrid>
      <w:tr>
        <w:trPr/>
        <w:tc>
          <w:tcPr>
            <w:tcW w:w="49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Incorporated by Reference</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3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Form</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Exhibit/</w:t>
              <w:br/>
              <w:t>Appendix</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Filing Date</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Arial;sans-serif" w:hAnsi="Arial;sans-serif"/>
                  <w:b w:val="false"/>
                  <w:color w:val="0000FF"/>
                  <w:sz w:val="18"/>
                  <w:u w:val="single"/>
                </w:rPr>
                <w:t>Second Amended and Restated 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8-K</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3.1.2</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11/5/2019</w:t>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1445"/>
                <wp:effectExtent l="0" t="0" r="0" b="0"/>
                <wp:wrapNone/>
                <wp:docPr id="76" name="Frame7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73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7"/>
        <w:gridCol w:w="287"/>
        <w:gridCol w:w="289"/>
        <w:gridCol w:w="109"/>
        <w:gridCol w:w="109"/>
        <w:gridCol w:w="109"/>
        <w:gridCol w:w="1943"/>
        <w:gridCol w:w="1753"/>
        <w:gridCol w:w="1759"/>
        <w:gridCol w:w="109"/>
        <w:gridCol w:w="109"/>
        <w:gridCol w:w="109"/>
        <w:gridCol w:w="264"/>
        <w:gridCol w:w="264"/>
        <w:gridCol w:w="268"/>
        <w:gridCol w:w="117"/>
        <w:gridCol w:w="117"/>
        <w:gridCol w:w="117"/>
        <w:gridCol w:w="295"/>
        <w:gridCol w:w="295"/>
        <w:gridCol w:w="296"/>
        <w:gridCol w:w="117"/>
        <w:gridCol w:w="117"/>
        <w:gridCol w:w="117"/>
        <w:gridCol w:w="214"/>
        <w:gridCol w:w="214"/>
        <w:gridCol w:w="216"/>
        <w:gridCol w:w="165"/>
      </w:tblGrid>
      <w:tr>
        <w:trPr/>
        <w:tc>
          <w:tcPr>
            <w:tcW w:w="3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Incorporated by Reference</w:t>
            </w:r>
          </w:p>
        </w:tc>
        <w:tc>
          <w:tcPr>
            <w:tcW w:w="165"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Form</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Exhibit/</w:t>
              <w:br/>
              <w:t>Appendix</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Filing Date</w:t>
            </w:r>
          </w:p>
        </w:tc>
        <w:tc>
          <w:tcPr>
            <w:tcW w:w="165"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Arial;sans-serif" w:hAnsi="Arial;sans-serif"/>
                  <w:b w:val="false"/>
                  <w:color w:val="0000FF"/>
                  <w:sz w:val="18"/>
                  <w:u w:val="single"/>
                </w:rPr>
                <w:t>Amended and Restated Bylaws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8-K</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3.02</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11/4/2022</w:t>
            </w:r>
          </w:p>
        </w:tc>
        <w:tc>
          <w:tcPr>
            <w:tcW w:w="165"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Arial;sans-serif" w:hAnsi="Arial;sans-serif"/>
                  <w:b w:val="false"/>
                  <w:color w:val="0000FF"/>
                  <w:sz w:val="18"/>
                  <w:u w:val="single"/>
                </w:rPr>
                <w:t>Certificate of Designation of Rights, Preferences and Privileges of Series A Participating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8-K</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3.1</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4/12/2023</w:t>
            </w:r>
          </w:p>
        </w:tc>
        <w:tc>
          <w:tcPr>
            <w:tcW w:w="165"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Arial;sans-serif" w:hAnsi="Arial;sans-serif"/>
                  <w:b w:val="false"/>
                  <w:color w:val="0000FF"/>
                  <w:sz w:val="18"/>
                  <w:u w:val="single"/>
                </w:rPr>
                <w:t>First Amendment to Amended and Restated Bylaws, dated April 25,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8-K</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3.1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4/26/2023</w:t>
            </w:r>
          </w:p>
        </w:tc>
        <w:tc>
          <w:tcPr>
            <w:tcW w:w="165"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Arial;sans-serif" w:hAnsi="Arial;sans-serif"/>
                  <w:b w:val="false"/>
                  <w:color w:val="0000FF"/>
                  <w:sz w:val="18"/>
                  <w:u w:val="single"/>
                </w:rPr>
                <w:t>Specimen Common Stock Certificate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S-1/A</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4.2</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7/28/2017</w:t>
            </w:r>
          </w:p>
        </w:tc>
        <w:tc>
          <w:tcPr>
            <w:tcW w:w="165"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Arial;sans-serif" w:hAnsi="Arial;sans-serif"/>
                  <w:b w:val="false"/>
                  <w:color w:val="0000FF"/>
                  <w:sz w:val="18"/>
                  <w:u w:val="single"/>
                </w:rPr>
                <w:t>Form of Unit Purchase Option between the Registrant and Chardan Capital Markets,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S-1/A</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4.5</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7/28/2017</w:t>
            </w:r>
          </w:p>
        </w:tc>
        <w:tc>
          <w:tcPr>
            <w:tcW w:w="165"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Arial;sans-serif" w:hAnsi="Arial;sans-serif"/>
                  <w:b w:val="false"/>
                  <w:color w:val="0000FF"/>
                  <w:sz w:val="18"/>
                  <w:u w:val="single"/>
                </w:rPr>
                <w:t xml:space="preserve">Form of Rights Agreement, dated August 8, 2017, by and between American Stock Transfer &amp; Trust Company, LLC and the Registrant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8-K</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4.1</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8/11/2017</w:t>
            </w:r>
          </w:p>
        </w:tc>
        <w:tc>
          <w:tcPr>
            <w:tcW w:w="165"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Arial;sans-serif" w:hAnsi="Arial;sans-serif"/>
                  <w:b w:val="false"/>
                  <w:color w:val="0000FF"/>
                  <w:sz w:val="18"/>
                  <w:u w:val="single"/>
                </w:rPr>
                <w:t>Preferred Stock Rights Agreement, dated as of April 11, 2023, by and between HF Foods Group Inc. and American Stock Transfer &amp; Trust Company, LLC, as rights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8-K</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4/12/2023</w:t>
            </w:r>
          </w:p>
        </w:tc>
        <w:tc>
          <w:tcPr>
            <w:tcW w:w="165"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Arial;sans-serif" w:hAnsi="Arial;sans-serif"/>
                  <w:b w:val="false"/>
                  <w:color w:val="0000FF"/>
                  <w:sz w:val="18"/>
                  <w:u w:val="single"/>
                </w:rPr>
                <w:t>Amendment to Preferred Stock Rights Agreement, dated as of April 11, 2024, by and between HF Foods Group Inc. and Equiniti Trust Company, LLC (f/k/a American Stock Transfer &amp; Trust Company, LLC), as rights agent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8-A</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4.2</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4/12/2024</w:t>
            </w:r>
          </w:p>
        </w:tc>
        <w:tc>
          <w:tcPr>
            <w:tcW w:w="165"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Arial;sans-serif" w:hAnsi="Arial;sans-serif"/>
                  <w:b w:val="false"/>
                  <w:color w:val="0000FF"/>
                  <w:sz w:val="18"/>
                  <w:u w:val="single"/>
                </w:rPr>
                <w:t>Form of Indenture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S-3</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4.5</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9/4/2024</w:t>
            </w:r>
          </w:p>
        </w:tc>
        <w:tc>
          <w:tcPr>
            <w:tcW w:w="165"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Arial;sans-serif" w:hAnsi="Arial;sans-serif"/>
                  <w:b w:val="false"/>
                  <w:color w:val="0000FF"/>
                  <w:sz w:val="18"/>
                  <w:u w:val="single"/>
                </w:rPr>
                <w:t>Description of Registrant’s Securities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10-K</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4.7</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3/17/2024</w:t>
            </w:r>
          </w:p>
        </w:tc>
        <w:tc>
          <w:tcPr>
            <w:tcW w:w="165"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18"/>
                <w:u w:val="single"/>
                <w:b w:val="false"/>
                <w:rFonts w:ascii="Arial;sans-serif" w:hAnsi="Arial;sans-serif"/>
                <w:color w:val="0000FF"/>
              </w:rPr>
              <w:instrText xml:space="preserve"> HYPERLINK "https://www.sec.gov/Archives/edgar/data/1680873/000161577418006598/s111401_def14a.htm" \l "a032_v1"</w:instrText>
            </w:r>
            <w:r>
              <w:rPr>
                <w:rStyle w:val="InternetLink"/>
                <w:sz w:val="18"/>
                <w:u w:val="single"/>
                <w:b w:val="false"/>
                <w:rFonts w:ascii="Arial;sans-serif" w:hAnsi="Arial;sans-serif"/>
                <w:color w:val="0000FF"/>
              </w:rPr>
              <w:fldChar w:fldCharType="separate"/>
            </w:r>
            <w:r>
              <w:rPr>
                <w:rStyle w:val="InternetLink"/>
                <w:rFonts w:ascii="Arial;sans-serif" w:hAnsi="Arial;sans-serif"/>
                <w:b w:val="false"/>
                <w:color w:val="0000FF"/>
                <w:sz w:val="18"/>
                <w:u w:val="single"/>
              </w:rPr>
              <w:t>HF Food Group Inc. 2018 Omnibus Equity Incentive Plan</w:t>
            </w:r>
            <w:r>
              <w:rPr>
                <w:rStyle w:val="InternetLink"/>
                <w:sz w:val="18"/>
                <w:u w:val="single"/>
                <w:b w:val="false"/>
                <w:rFonts w:ascii="Arial;sans-serif" w:hAnsi="Arial;sans-serif"/>
                <w:color w:val="0000FF"/>
              </w:rPr>
              <w:fldChar w:fldCharType="end"/>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DEF14A</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B</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7/18/2018</w:t>
            </w:r>
          </w:p>
        </w:tc>
        <w:tc>
          <w:tcPr>
            <w:tcW w:w="165"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Arial;sans-serif" w:hAnsi="Arial;sans-serif"/>
                  <w:b w:val="false"/>
                  <w:color w:val="0000FF"/>
                  <w:sz w:val="18"/>
                  <w:u w:val="single"/>
                </w:rPr>
                <w:t>Form of Registration Rights Agreement between the Company, HF Group Holdings Corporation and Zhou Min Ni, as representative of the stockholders of HF Foods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8-K</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10.9</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8/27/2018</w:t>
            </w:r>
          </w:p>
        </w:tc>
        <w:tc>
          <w:tcPr>
            <w:tcW w:w="165"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Arial;sans-serif" w:hAnsi="Arial;sans-serif"/>
                  <w:b w:val="false"/>
                  <w:color w:val="0000FF"/>
                  <w:sz w:val="18"/>
                  <w:u w:val="single"/>
                </w:rPr>
                <w:t>Credit Agreement dated as of January 5, 2012 between Han Feng, Inc. and East West Bank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10-K</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10.12</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4/1/2019</w:t>
            </w:r>
          </w:p>
        </w:tc>
        <w:tc>
          <w:tcPr>
            <w:tcW w:w="165"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Arial;sans-serif" w:hAnsi="Arial;sans-serif"/>
                  <w:b w:val="false"/>
                  <w:color w:val="0000FF"/>
                  <w:sz w:val="18"/>
                  <w:u w:val="single"/>
                </w:rPr>
                <w:t>Amendment to Credit Agreement dated as of May 21, 2013 by and between Han Feng, Inc. and East West Bank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10-K</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10.13</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4/1/2019</w:t>
            </w:r>
          </w:p>
        </w:tc>
        <w:tc>
          <w:tcPr>
            <w:tcW w:w="165"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Arial;sans-serif" w:hAnsi="Arial;sans-serif"/>
                  <w:b w:val="false"/>
                  <w:color w:val="0000FF"/>
                  <w:sz w:val="18"/>
                  <w:u w:val="single"/>
                </w:rPr>
                <w:t>Second Amendment to Credit Agreement dated as of December 10, 2013 by and between Han Feng, Inc. and East West Bank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10-K</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10.14</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4/1/2019</w:t>
            </w:r>
          </w:p>
        </w:tc>
        <w:tc>
          <w:tcPr>
            <w:tcW w:w="165"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Arial;sans-serif" w:hAnsi="Arial;sans-serif"/>
                  <w:b w:val="false"/>
                  <w:color w:val="0000FF"/>
                  <w:sz w:val="18"/>
                  <w:u w:val="single"/>
                </w:rPr>
                <w:t>Third Amendment to Credit Agreement dated as of July 1, 2016 between Han Feng, Inc. and East West Bank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10-K</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10.15</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4/1/2019</w:t>
            </w:r>
          </w:p>
        </w:tc>
        <w:tc>
          <w:tcPr>
            <w:tcW w:w="165"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Arial;sans-serif" w:hAnsi="Arial;sans-serif"/>
                  <w:b w:val="false"/>
                  <w:color w:val="0000FF"/>
                  <w:sz w:val="18"/>
                  <w:u w:val="single"/>
                </w:rPr>
                <w:t>Fourth Amendment to Credit Agreement dated July 18, 2017 between Han Feng, Inc. and East West Bank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10-K</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10.16</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4/1/2019</w:t>
            </w:r>
          </w:p>
        </w:tc>
        <w:tc>
          <w:tcPr>
            <w:tcW w:w="165"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Arial;sans-serif" w:hAnsi="Arial;sans-serif"/>
                  <w:b w:val="false"/>
                  <w:color w:val="0000FF"/>
                  <w:sz w:val="18"/>
                  <w:u w:val="single"/>
                </w:rPr>
                <w:t>Credit Agreement dated as of February 26, 2018 between New Southern Food Distributors, Inc. and Bank of America, N.A.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10-K</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10.17</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4/1/2019</w:t>
            </w:r>
          </w:p>
        </w:tc>
        <w:tc>
          <w:tcPr>
            <w:tcW w:w="165"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Arial;sans-serif" w:hAnsi="Arial;sans-serif"/>
                  <w:b w:val="false"/>
                  <w:color w:val="0000FF"/>
                  <w:sz w:val="18"/>
                  <w:u w:val="single"/>
                </w:rPr>
                <w:t>Second Amended and Restated Credit Agreement among HF Foods Group Inc. B&amp;R Global Holdings, Inc., subsidiaries of the Company, JPMorgan Chase Bank, N.A. (“JPMorgan”), as Administrative Agent, and certain lender parties thereto, dated January 17, 2020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10-Q</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5/18/2020</w:t>
            </w:r>
          </w:p>
        </w:tc>
        <w:tc>
          <w:tcPr>
            <w:tcW w:w="165"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Arial;sans-serif" w:hAnsi="Arial;sans-serif"/>
                  <w:b w:val="false"/>
                  <w:color w:val="0000FF"/>
                  <w:sz w:val="18"/>
                  <w:u w:val="single"/>
                </w:rPr>
                <w:t>Assignment and Assumption of Lease Agreement, dated as of January 21, 2021 between Anheart, Inc. and 273 Fifth Avenue,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10-K</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10.25</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3/16/2021</w:t>
            </w:r>
          </w:p>
        </w:tc>
        <w:tc>
          <w:tcPr>
            <w:tcW w:w="165"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Arial;sans-serif" w:hAnsi="Arial;sans-serif"/>
                  <w:b w:val="false"/>
                  <w:color w:val="0000FF"/>
                  <w:sz w:val="18"/>
                  <w:u w:val="single"/>
                </w:rPr>
                <w:t>Lease dated July 2, 2018, between Anheart Inc. and Premier 273 Fifth,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10-K</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10.26</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3/16/2021</w:t>
            </w:r>
          </w:p>
        </w:tc>
        <w:tc>
          <w:tcPr>
            <w:tcW w:w="165"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Arial;sans-serif" w:hAnsi="Arial;sans-serif"/>
                  <w:b w:val="false"/>
                  <w:color w:val="0000FF"/>
                  <w:sz w:val="18"/>
                  <w:u w:val="single"/>
                </w:rPr>
                <w:t>Amendment of Lease, dated as of January 21, 2021, between Anheart, Inc. and Premier 273 Fifth,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10-K</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10.27</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3/16/2021</w:t>
            </w:r>
          </w:p>
        </w:tc>
        <w:tc>
          <w:tcPr>
            <w:tcW w:w="165"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Arial;sans-serif" w:hAnsi="Arial;sans-serif"/>
                  <w:b w:val="false"/>
                  <w:color w:val="0000FF"/>
                  <w:sz w:val="18"/>
                  <w:u w:val="single"/>
                </w:rPr>
                <w:t>HF Foods Group Inc. Amended and Restated Severance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8-K</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1/5/2023</w:t>
            </w:r>
          </w:p>
        </w:tc>
        <w:tc>
          <w:tcPr>
            <w:tcW w:w="165"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Arial;sans-serif" w:hAnsi="Arial;sans-serif"/>
                  <w:b w:val="false"/>
                  <w:color w:val="0000FF"/>
                  <w:sz w:val="18"/>
                  <w:u w:val="single"/>
                </w:rPr>
                <w:t>Employment Agreement between Christine Chang and HF Foods Group Inc., dated as of July 29,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8-K</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8/4/2021</w:t>
            </w:r>
          </w:p>
        </w:tc>
        <w:tc>
          <w:tcPr>
            <w:tcW w:w="165"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Arial;sans-serif" w:hAnsi="Arial;sans-serif"/>
                  <w:b w:val="false"/>
                  <w:color w:val="0000FF"/>
                  <w:sz w:val="18"/>
                  <w:u w:val="single"/>
                </w:rPr>
                <w:t>Continuing Guaranty, dated August 2, 2021, executed by HF Foods Group Inc. in favor of JPMorgan Chase Bank, N.A.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8-K</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9/9/2021</w:t>
            </w:r>
          </w:p>
        </w:tc>
        <w:tc>
          <w:tcPr>
            <w:tcW w:w="165"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1445"/>
                <wp:effectExtent l="0" t="0" r="0" b="0"/>
                <wp:wrapNone/>
                <wp:docPr id="77" name="Frame7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74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8"/>
        <w:gridCol w:w="270"/>
        <w:gridCol w:w="272"/>
        <w:gridCol w:w="109"/>
        <w:gridCol w:w="109"/>
        <w:gridCol w:w="109"/>
        <w:gridCol w:w="1850"/>
        <w:gridCol w:w="1850"/>
        <w:gridCol w:w="1868"/>
        <w:gridCol w:w="109"/>
        <w:gridCol w:w="109"/>
        <w:gridCol w:w="109"/>
        <w:gridCol w:w="264"/>
        <w:gridCol w:w="264"/>
        <w:gridCol w:w="268"/>
        <w:gridCol w:w="113"/>
        <w:gridCol w:w="113"/>
        <w:gridCol w:w="113"/>
        <w:gridCol w:w="295"/>
        <w:gridCol w:w="295"/>
        <w:gridCol w:w="296"/>
        <w:gridCol w:w="113"/>
        <w:gridCol w:w="113"/>
        <w:gridCol w:w="113"/>
        <w:gridCol w:w="203"/>
        <w:gridCol w:w="203"/>
        <w:gridCol w:w="204"/>
        <w:gridCol w:w="163"/>
      </w:tblGrid>
      <w:tr>
        <w:trPr/>
        <w:tc>
          <w:tcPr>
            <w:tcW w:w="30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Incorporated by Reference</w:t>
            </w:r>
          </w:p>
        </w:tc>
        <w:tc>
          <w:tcPr>
            <w:tcW w:w="163"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Form</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Exhibit/</w:t>
              <w:br/>
              <w:t>Appendix</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Filing Date</w:t>
            </w:r>
          </w:p>
        </w:tc>
        <w:tc>
          <w:tcPr>
            <w:tcW w:w="163"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Arial;sans-serif" w:hAnsi="Arial;sans-serif"/>
                  <w:b w:val="false"/>
                  <w:color w:val="0000FF"/>
                  <w:sz w:val="18"/>
                  <w:u w:val="single"/>
                </w:rPr>
                <w:t>Consent, Waiver, Joinder and Amendment No. 3 to Second Amended and Restated Credit Agreement by and among HF Foods Group Inc., B&amp;R Global Holdings, Inc. and certain of the wholly-owned subsidiaries and affiliates of the Company, including Great Wall Seafood IL, L.L.C., and Great Wall Seafood TX, L.L.C., as borrowers, JPMorgan Chase Bank, N.A. as Administrative Agent, and certain lender parties thereto, including Comerica Bank, dated December 30,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8-K</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1/4/2022</w:t>
            </w:r>
          </w:p>
        </w:tc>
        <w:tc>
          <w:tcPr>
            <w:tcW w:w="163"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Arial;sans-serif" w:hAnsi="Arial;sans-serif"/>
                  <w:b w:val="false"/>
                  <w:color w:val="0000FF"/>
                  <w:sz w:val="18"/>
                  <w:u w:val="single"/>
                </w:rPr>
                <w:t>Form of Restricted Stock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S-8</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4.7</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6/15/2021</w:t>
            </w:r>
          </w:p>
        </w:tc>
        <w:tc>
          <w:tcPr>
            <w:tcW w:w="163"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Arial;sans-serif" w:hAnsi="Arial;sans-serif"/>
                  <w:b w:val="false"/>
                  <w:color w:val="0000FF"/>
                  <w:sz w:val="18"/>
                  <w:u w:val="single"/>
                </w:rPr>
                <w:t>Third Amended and Restated Credit Agreement by and among HF Foods Group Inc., B&amp;R Global Holdings, Inc. and certain of the wholly-owned subsidiaries and affiliates of the Company, as borrowers, JPMorgan Chase Bank, N.A. as Administrative Agent, and certain lender parties thereto, including Comerica Bank, dated March 31, 2022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8-K</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4/1/2022</w:t>
            </w:r>
          </w:p>
        </w:tc>
        <w:tc>
          <w:tcPr>
            <w:tcW w:w="163"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Arial;sans-serif" w:hAnsi="Arial;sans-serif"/>
                  <w:b w:val="false"/>
                  <w:color w:val="0000FF"/>
                  <w:sz w:val="18"/>
                  <w:u w:val="single"/>
                </w:rPr>
                <w:t>Consent Under Third Amended and Restated Credit Agreement, dated October 26,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8-K</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10/31/2022</w:t>
            </w:r>
          </w:p>
        </w:tc>
        <w:tc>
          <w:tcPr>
            <w:tcW w:w="163"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Arial;sans-serif" w:hAnsi="Arial;sans-serif"/>
                  <w:b w:val="false"/>
                  <w:color w:val="0000FF"/>
                  <w:sz w:val="18"/>
                  <w:u w:val="single"/>
                </w:rPr>
                <w:t>Amendment No. 1 to Third Amended and Restated Credit Agreement, dated as of February 6,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8-K</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2/9/2024</w:t>
            </w:r>
          </w:p>
        </w:tc>
        <w:tc>
          <w:tcPr>
            <w:tcW w:w="163"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Arial;sans-serif" w:hAnsi="Arial;sans-serif"/>
                  <w:b w:val="false"/>
                  <w:color w:val="0000FF"/>
                  <w:sz w:val="18"/>
                  <w:u w:val="single"/>
                </w:rPr>
                <w:t>Offer of Employment for Felix Lin dated April 15,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8-K</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4/20/2022</w:t>
            </w:r>
          </w:p>
        </w:tc>
        <w:tc>
          <w:tcPr>
            <w:tcW w:w="163"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Arial;sans-serif" w:hAnsi="Arial;sans-serif"/>
                  <w:b w:val="false"/>
                  <w:color w:val="0000FF"/>
                  <w:sz w:val="18"/>
                  <w:u w:val="single"/>
                </w:rPr>
                <w:t>Offer Letter, dated April 22, 2024, by and among HF Foods Group Inc. and Cindy Yao.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8-K</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4/25/2024</w:t>
            </w:r>
          </w:p>
        </w:tc>
        <w:tc>
          <w:tcPr>
            <w:tcW w:w="163"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Arial;sans-serif" w:hAnsi="Arial;sans-serif"/>
                  <w:b w:val="false"/>
                  <w:color w:val="0000FF"/>
                  <w:sz w:val="18"/>
                  <w:u w:val="single"/>
                </w:rPr>
                <w:t>Lease dated July 2, 2018, between Anheart Inc. and 825 Broadway Realty, LLC, Samayabeneli RE LLC, AS 2 East 30, LLC, 273 Yoco LLC, and UBA 2 East 30,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8-K</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5/6/2024</w:t>
            </w:r>
          </w:p>
        </w:tc>
        <w:tc>
          <w:tcPr>
            <w:tcW w:w="163"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Arial;sans-serif" w:hAnsi="Arial;sans-serif"/>
                  <w:b w:val="false"/>
                  <w:color w:val="0000FF"/>
                  <w:sz w:val="18"/>
                  <w:u w:val="single"/>
                </w:rPr>
                <w:t>Amendment to Lease, dated as of January 21, 2021, between Anheart, Inc. and 825 Broadway Realty, LLC, Samayabeneli RE LLC, AS 2 East 30, LLC, 273 Yoco LLC, and UBA 2 East 30,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8-K</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5/6/2024</w:t>
            </w:r>
          </w:p>
        </w:tc>
        <w:tc>
          <w:tcPr>
            <w:tcW w:w="163"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Arial;sans-serif" w:hAnsi="Arial;sans-serif"/>
                  <w:b w:val="false"/>
                  <w:color w:val="0000FF"/>
                  <w:sz w:val="18"/>
                  <w:u w:val="single"/>
                </w:rPr>
                <w:t>Assignment and Assumption of Lease Agreement, dated as of August 16, 2022 and effective as of April 30, 2024, between Anheart, Inc. and 273 Fifth Avenue,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8-K</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10.3</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5/6/2024</w:t>
            </w:r>
          </w:p>
        </w:tc>
        <w:tc>
          <w:tcPr>
            <w:tcW w:w="163"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Arial;sans-serif" w:hAnsi="Arial;sans-serif"/>
                  <w:b w:val="false"/>
                  <w:color w:val="0000FF"/>
                  <w:sz w:val="18"/>
                  <w:u w:val="single"/>
                </w:rPr>
                <w:t>Form of Restricted Stock Unit Award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S-8</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6/5/2024</w:t>
            </w:r>
          </w:p>
        </w:tc>
        <w:tc>
          <w:tcPr>
            <w:tcW w:w="163"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Arial;sans-serif" w:hAnsi="Arial;sans-serif"/>
                  <w:b w:val="false"/>
                  <w:color w:val="0000FF"/>
                  <w:sz w:val="18"/>
                  <w:u w:val="single"/>
                </w:rPr>
                <w:t>Form of Performance Awards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S-8</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4.3</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6/5/2024</w:t>
            </w:r>
          </w:p>
        </w:tc>
        <w:tc>
          <w:tcPr>
            <w:tcW w:w="163"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Arial;sans-serif" w:hAnsi="Arial;sans-serif"/>
                  <w:b w:val="false"/>
                  <w:color w:val="0000FF"/>
                  <w:sz w:val="18"/>
                  <w:u w:val="single"/>
                </w:rPr>
                <w:t>First Amendment to HF Foods Group Inc. 2018 Omnibus Equity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S-8</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6/5/2024</w:t>
            </w:r>
          </w:p>
        </w:tc>
        <w:tc>
          <w:tcPr>
            <w:tcW w:w="163"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18"/>
                <w:u w:val="single"/>
                <w:b w:val="false"/>
                <w:rFonts w:ascii="Arial;sans-serif" w:hAnsi="Arial;sans-serif"/>
                <w:color w:val="0000FF"/>
              </w:rPr>
              <w:instrText xml:space="preserve"> HYPERLINK "https://www.sec.gov/Archives/edgar/data/1680873/000168087324000019/hffg-20240424.htm" \l "ia320fe9e2b4a4386878434d3c6b41321_739"</w:instrText>
            </w:r>
            <w:r>
              <w:rPr>
                <w:rStyle w:val="InternetLink"/>
                <w:sz w:val="18"/>
                <w:u w:val="single"/>
                <w:b w:val="false"/>
                <w:rFonts w:ascii="Arial;sans-serif" w:hAnsi="Arial;sans-serif"/>
                <w:color w:val="0000FF"/>
              </w:rPr>
              <w:fldChar w:fldCharType="separate"/>
            </w:r>
            <w:r>
              <w:rPr>
                <w:rStyle w:val="InternetLink"/>
                <w:rFonts w:ascii="Arial;sans-serif" w:hAnsi="Arial;sans-serif"/>
                <w:b w:val="false"/>
                <w:color w:val="0000FF"/>
                <w:sz w:val="18"/>
                <w:u w:val="single"/>
              </w:rPr>
              <w:t>Second Amendment to HF Foods Group Inc. 2018 Omnibus Equity Incentive Plan</w:t>
            </w:r>
            <w:r>
              <w:rPr>
                <w:rStyle w:val="InternetLink"/>
                <w:sz w:val="18"/>
                <w:u w:val="single"/>
                <w:b w:val="false"/>
                <w:rFonts w:ascii="Arial;sans-serif" w:hAnsi="Arial;sans-serif"/>
                <w:color w:val="0000FF"/>
              </w:rPr>
              <w:fldChar w:fldCharType="end"/>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DEF14A</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Annex</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4/24/2024</w:t>
            </w:r>
          </w:p>
        </w:tc>
        <w:tc>
          <w:tcPr>
            <w:tcW w:w="163"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Arial;sans-serif" w:hAnsi="Arial;sans-serif"/>
                  <w:b w:val="false"/>
                  <w:color w:val="0000FF"/>
                  <w:sz w:val="18"/>
                  <w:u w:val="single"/>
                </w:rPr>
                <w:t>Form of Director Letter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8-K</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6/28/2024</w:t>
            </w:r>
          </w:p>
        </w:tc>
        <w:tc>
          <w:tcPr>
            <w:tcW w:w="163"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Arial;sans-serif" w:hAnsi="Arial;sans-serif"/>
                  <w:b w:val="false"/>
                  <w:color w:val="0000FF"/>
                  <w:sz w:val="18"/>
                  <w:u w:val="single"/>
                </w:rPr>
                <w:t>Amendment No. 2 to Third Amended and Restated Credit Agreement, dated as of July 15,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10-Q</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11/12/2024</w:t>
            </w:r>
          </w:p>
        </w:tc>
        <w:tc>
          <w:tcPr>
            <w:tcW w:w="163"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Arial;sans-serif" w:hAnsi="Arial;sans-serif"/>
                  <w:b w:val="false"/>
                  <w:color w:val="0000FF"/>
                  <w:sz w:val="18"/>
                  <w:u w:val="single"/>
                </w:rPr>
                <w:t>Amendment No. 3 to Third Amended and Restated Credit Agreement, dated as of September 18,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10-K</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3/17/2025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5">
              <w:r>
                <w:rPr>
                  <w:rStyle w:val="InternetLink"/>
                  <w:rFonts w:ascii="Arial;sans-serif" w:hAnsi="Arial;sans-serif"/>
                  <w:b w:val="false"/>
                  <w:color w:val="0000FF"/>
                  <w:sz w:val="18"/>
                  <w:u w:val="single"/>
                </w:rPr>
                <w:t>Lease Agreement between CH Realty IX-NDG Atlanta Freeman Intermodal, L.P., as Landlord, and HF Foods Group, Inc., as Tenant, dated as of September 30,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10-Q</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11/12/2024</w:t>
            </w:r>
          </w:p>
        </w:tc>
        <w:tc>
          <w:tcPr>
            <w:tcW w:w="163"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6">
              <w:r>
                <w:rPr>
                  <w:rStyle w:val="InternetLink"/>
                  <w:rFonts w:ascii="Arial;sans-serif" w:hAnsi="Arial;sans-serif"/>
                  <w:b w:val="false"/>
                  <w:color w:val="0000FF"/>
                  <w:sz w:val="18"/>
                  <w:u w:val="single"/>
                </w:rPr>
                <w:t>Employment Agreement between HF Foods Group Inc. and Xi Lin, dated as of December 16, 2024 and effective as of January 1,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8-K</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12/19/2024</w:t>
            </w:r>
          </w:p>
        </w:tc>
        <w:tc>
          <w:tcPr>
            <w:tcW w:w="163"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7">
              <w:r>
                <w:rPr>
                  <w:rStyle w:val="InternetLink"/>
                  <w:rFonts w:ascii="Arial;sans-serif" w:hAnsi="Arial;sans-serif"/>
                  <w:b w:val="false"/>
                  <w:color w:val="0000FF"/>
                  <w:sz w:val="18"/>
                  <w:u w:val="single"/>
                </w:rPr>
                <w:t>Amendment No. 4 to Third Amended and Restated Credit Agreement, dated as of February 12,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8-K</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2/18/2025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8">
              <w:r>
                <w:rPr>
                  <w:rStyle w:val="InternetLink"/>
                  <w:rFonts w:ascii="Arial;sans-serif" w:hAnsi="Arial;sans-serif"/>
                  <w:b w:val="false"/>
                  <w:color w:val="0000FF"/>
                  <w:sz w:val="18"/>
                  <w:u w:val="single"/>
                </w:rPr>
                <w:t>Sales Agreement, by and among HF Foods Group Inc., D.A. Davidson &amp; Co. and Roth Capital Partners, LLC, dated September 25, 2025.</w:t>
              </w:r>
            </w:hyperlink>
            <w:r>
              <w:rPr>
                <w:color w:val="000000"/>
              </w:rPr>
              <w:t xml:space="preserve"> </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8-K</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9/25/2025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9">
              <w:r>
                <w:rPr>
                  <w:rStyle w:val="InternetLink"/>
                  <w:rFonts w:ascii="Arial;sans-serif" w:hAnsi="Arial;sans-serif"/>
                  <w:b w:val="false"/>
                  <w:color w:val="0000FF"/>
                  <w:sz w:val="18"/>
                  <w:u w:val="single"/>
                </w:rPr>
                <w:t>Offer letter, dated February 6, 2025, by and between the Company and Paul McGarry.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8-K</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10/16/2025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0">
              <w:r>
                <w:rPr>
                  <w:rStyle w:val="InternetLink"/>
                  <w:rFonts w:ascii="Arial;sans-serif" w:hAnsi="Arial;sans-serif"/>
                  <w:b w:val="false"/>
                  <w:color w:val="0000FF"/>
                  <w:sz w:val="18"/>
                  <w:u w:val="single"/>
                </w:rPr>
                <w:t>Amendment to Offer Letter, dated October 13, 2025, by and between the Company and Paul McGarry.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8-K</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10/16/2025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1">
              <w:r>
                <w:rPr>
                  <w:rStyle w:val="InternetLink"/>
                  <w:rFonts w:ascii="Arial;sans-serif" w:hAnsi="Arial;sans-serif"/>
                  <w:b w:val="false"/>
                  <w:color w:val="0000FF"/>
                  <w:sz w:val="18"/>
                  <w:u w:val="single"/>
                </w:rPr>
                <w:t>Separation Agreement, effective October 30, 2025, between HF Foods Group Inc., and Cindy Yao.</w:t>
              </w:r>
            </w:hyperlink>
            <w:r>
              <w:rPr>
                <w:color w:val="000000"/>
              </w:rPr>
              <w:t xml:space="preserve"> </w:t>
            </w: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8-K</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11/5/2025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2">
              <w:r>
                <w:rPr>
                  <w:rStyle w:val="InternetLink"/>
                  <w:rFonts w:ascii="Arial;sans-serif" w:hAnsi="Arial;sans-serif"/>
                  <w:b w:val="false"/>
                  <w:color w:val="000080"/>
                  <w:sz w:val="18"/>
                  <w:u w:val="single"/>
                </w:rPr>
                <w:t>A</w:t>
              </w:r>
            </w:hyperlink>
            <w:hyperlink r:id="rId53">
              <w:r>
                <w:rPr>
                  <w:rStyle w:val="InternetLink"/>
                  <w:rFonts w:ascii="Arial;sans-serif" w:hAnsi="Arial;sans-serif"/>
                  <w:b w:val="false"/>
                  <w:color w:val="000080"/>
                  <w:sz w:val="18"/>
                  <w:u w:val="single"/>
                </w:rPr>
                <w:t>mended Letter Agreement, dated February 2, 2026, between HF Foods Group Inc. and Paul McGarry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8-K</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2/2/2026</w:t>
            </w:r>
          </w:p>
        </w:tc>
        <w:tc>
          <w:tcPr>
            <w:tcW w:w="163"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1445"/>
                <wp:effectExtent l="0" t="0" r="0" b="0"/>
                <wp:wrapNone/>
                <wp:docPr id="78" name="Frame7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75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5"/>
        <w:gridCol w:w="303"/>
        <w:gridCol w:w="305"/>
        <w:gridCol w:w="109"/>
        <w:gridCol w:w="109"/>
        <w:gridCol w:w="109"/>
        <w:gridCol w:w="2056"/>
        <w:gridCol w:w="1779"/>
        <w:gridCol w:w="1784"/>
        <w:gridCol w:w="109"/>
        <w:gridCol w:w="109"/>
        <w:gridCol w:w="109"/>
        <w:gridCol w:w="175"/>
        <w:gridCol w:w="175"/>
        <w:gridCol w:w="176"/>
        <w:gridCol w:w="121"/>
        <w:gridCol w:w="121"/>
        <w:gridCol w:w="121"/>
        <w:gridCol w:w="295"/>
        <w:gridCol w:w="295"/>
        <w:gridCol w:w="296"/>
        <w:gridCol w:w="121"/>
        <w:gridCol w:w="121"/>
        <w:gridCol w:w="121"/>
        <w:gridCol w:w="226"/>
        <w:gridCol w:w="226"/>
        <w:gridCol w:w="228"/>
        <w:gridCol w:w="161"/>
      </w:tblGrid>
      <w:tr>
        <w:trPr/>
        <w:tc>
          <w:tcPr>
            <w:tcW w:w="34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Incorporated by Reference</w:t>
            </w:r>
          </w:p>
        </w:tc>
        <w:tc>
          <w:tcPr>
            <w:tcW w:w="161"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Form</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Exhibit/</w:t>
              <w:br/>
              <w:t>Appendix</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Filing Date</w:t>
            </w:r>
          </w:p>
        </w:tc>
        <w:tc>
          <w:tcPr>
            <w:tcW w:w="161"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4">
              <w:r>
                <w:rPr>
                  <w:rStyle w:val="InternetLink"/>
                  <w:rFonts w:ascii="Arial;sans-serif" w:hAnsi="Arial;sans-serif"/>
                  <w:b w:val="false"/>
                  <w:color w:val="000080"/>
                  <w:sz w:val="18"/>
                  <w:u w:val="single"/>
                </w:rPr>
                <w:t>A</w:t>
              </w:r>
            </w:hyperlink>
            <w:hyperlink r:id="rId55">
              <w:r>
                <w:rPr>
                  <w:rStyle w:val="InternetLink"/>
                  <w:rFonts w:ascii="Arial;sans-serif" w:hAnsi="Arial;sans-serif"/>
                  <w:b w:val="false"/>
                  <w:color w:val="000080"/>
                  <w:sz w:val="18"/>
                  <w:u w:val="single"/>
                </w:rPr>
                <w:t>mended Severance Plan, effective January 27, 2026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8-K</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2/2/2026</w:t>
            </w:r>
          </w:p>
        </w:tc>
        <w:tc>
          <w:tcPr>
            <w:tcW w:w="161"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6">
              <w:r>
                <w:rPr>
                  <w:rStyle w:val="InternetLink"/>
                  <w:rFonts w:ascii="Arial;sans-serif" w:hAnsi="Arial;sans-serif"/>
                  <w:b w:val="false"/>
                  <w:color w:val="000080"/>
                  <w:sz w:val="18"/>
                  <w:u w:val="single"/>
                </w:rPr>
                <w:t>F</w:t>
              </w:r>
            </w:hyperlink>
            <w:hyperlink r:id="rId57">
              <w:r>
                <w:rPr>
                  <w:rStyle w:val="InternetLink"/>
                  <w:rFonts w:ascii="Arial;sans-serif" w:hAnsi="Arial;sans-serif"/>
                  <w:b w:val="false"/>
                  <w:color w:val="000080"/>
                  <w:sz w:val="18"/>
                  <w:u w:val="single"/>
                </w:rPr>
                <w:t xml:space="preserve">orm Key Employee Letter </w:t>
              </w:r>
            </w:hyperlink>
            <w:hyperlink r:id="rId58">
              <w:r>
                <w:rPr>
                  <w:rStyle w:val="InternetLink"/>
                  <w:rFonts w:ascii="Arial;sans-serif" w:hAnsi="Arial;sans-serif"/>
                  <w:b w:val="false"/>
                  <w:color w:val="000080"/>
                  <w:sz w:val="18"/>
                  <w:u w:val="single"/>
                </w:rPr>
                <w:t>Agreement for the Amended Severance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8-K</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10.3</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2/2/2026</w:t>
            </w:r>
          </w:p>
        </w:tc>
        <w:tc>
          <w:tcPr>
            <w:tcW w:w="161"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9">
              <w:r>
                <w:rPr>
                  <w:rStyle w:val="InternetLink"/>
                  <w:rFonts w:ascii="Arial;sans-serif" w:hAnsi="Arial;sans-serif"/>
                  <w:b w:val="false"/>
                  <w:color w:val="0000FF"/>
                  <w:sz w:val="18"/>
                  <w:u w:val="single"/>
                </w:rPr>
                <w:t>Insider Trading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10-K</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19.1</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3/17/2025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211hffgsubsidiaries123125.htm">
              <w:r>
                <w:rPr>
                  <w:rStyle w:val="InternetLink"/>
                  <w:rFonts w:ascii="Arial;sans-serif" w:hAnsi="Arial;sans-serif"/>
                  <w:b w:val="false"/>
                  <w:color w:val="0000FF"/>
                  <w:sz w:val="18"/>
                  <w:u w:val="single"/>
                </w:rPr>
                <w:t>Subsidiaries of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231bdoconsent2025.htm">
              <w:r>
                <w:rPr>
                  <w:rStyle w:val="InternetLink"/>
                  <w:rFonts w:ascii="Arial;sans-serif" w:hAnsi="Arial;sans-serif"/>
                  <w:b w:val="false"/>
                  <w:color w:val="0000FF"/>
                  <w:sz w:val="18"/>
                  <w:u w:val="single"/>
                </w:rPr>
                <w:t>Consent of BDO USA, P.C.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20254q-ex311.htm">
              <w:r>
                <w:rPr>
                  <w:rStyle w:val="InternetLink"/>
                  <w:rFonts w:ascii="Arial;sans-serif" w:hAnsi="Arial;sans-serif"/>
                  <w:b w:val="false"/>
                  <w:color w:val="0000FF"/>
                  <w:sz w:val="18"/>
                  <w:u w:val="single"/>
                </w:rPr>
                <w:t>Certification of Chief Executive Officer pursuant to Rule 13a-14 and Rule 15d-14(a), promulgated under the Securities and Exchange Act of 1934,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20254q-ex312.htm">
              <w:r>
                <w:rPr>
                  <w:rStyle w:val="InternetLink"/>
                  <w:rFonts w:ascii="Arial;sans-serif" w:hAnsi="Arial;sans-serif"/>
                  <w:b w:val="false"/>
                  <w:color w:val="0000FF"/>
                  <w:sz w:val="18"/>
                  <w:u w:val="single"/>
                </w:rPr>
                <w:t>Certification of Chief Financial Officer pursuant to Rule 13a-14 and Rule 15d-14(a), promulgated under the Securities and Exchange Act of 1934, as amended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20254q-ex321.htm">
              <w:r>
                <w:rPr>
                  <w:rStyle w:val="InternetLink"/>
                  <w:rFonts w:ascii="Arial;sans-serif" w:hAnsi="Arial;sans-serif"/>
                  <w:b w:val="false"/>
                  <w:color w:val="0000FF"/>
                  <w:sz w:val="18"/>
                  <w:u w:val="single"/>
                </w:rPr>
                <w:t>Certification of Chief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20254q-ex322.htm">
              <w:r>
                <w:rPr>
                  <w:rStyle w:val="InternetLink"/>
                  <w:rFonts w:ascii="Arial;sans-serif" w:hAnsi="Arial;sans-serif"/>
                  <w:b w:val="false"/>
                  <w:color w:val="0000FF"/>
                  <w:sz w:val="18"/>
                  <w:u w:val="single"/>
                </w:rPr>
                <w:t>Certification of Chief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0">
              <w:r>
                <w:rPr>
                  <w:rStyle w:val="InternetLink"/>
                  <w:rFonts w:ascii="Arial;sans-serif" w:hAnsi="Arial;sans-serif"/>
                  <w:b w:val="false"/>
                  <w:color w:val="0000FF"/>
                  <w:sz w:val="18"/>
                  <w:u w:val="single"/>
                </w:rPr>
                <w:t>Policy for the Recovery of Erroneously Awarded Compensation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10-K</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97.1</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3/26/2024</w:t>
            </w:r>
          </w:p>
        </w:tc>
        <w:tc>
          <w:tcPr>
            <w:tcW w:w="161"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Inline XBRL Document Set for the consolidated financial statements and accompanying notes in Part II, Item 8, “Financial Statements and Supplementary Data” of this Annual Report on Form 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3405"/>
        <w:gridCol w:w="3181"/>
        <w:gridCol w:w="3121"/>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5"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w:t>
            </w:r>
          </w:p>
        </w:tc>
        <w:tc>
          <w:tcPr>
            <w:tcW w:w="97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Filed herewith.</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w:t>
            </w:r>
          </w:p>
        </w:tc>
        <w:tc>
          <w:tcPr>
            <w:tcW w:w="97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 xml:space="preserve">Furnished herewith. </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7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Indicates a management contract or compensatory plan or arrangement.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w:t>
            </w:r>
          </w:p>
        </w:tc>
        <w:tc>
          <w:tcPr>
            <w:tcW w:w="97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Certain portions of this exhibit have been omitted in accordance with Regulation S-K Item 601(b)(10)(iv) because they are both (i) not material to investors and (ii) the type of information that the Company customarily and actually treats as private or confidential, and have been marked with ‘‘[***]’’ to indicate where omissions have been made. The Company agrees to furnish supplementally an unredacted copy of the exhibit to the SEC upon its request.</w:t>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16.    FORM 10-K SUMMARY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1445"/>
                <wp:effectExtent l="0" t="0" r="0" b="0"/>
                <wp:wrapNone/>
                <wp:docPr id="79" name="Frame7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Pursuant to the requirements of Section 13 or 15(d) of the Securities Exchange Act of 1934, as amended, the registrant has duly caused this report to be signed on its behalf by the undersigned, thereunto duly authorized.</w:t>
      </w:r>
    </w:p>
    <w:p>
      <w:pPr>
        <w:pStyle w:val="TextBody"/>
        <w:bidi w:val="0"/>
        <w:spacing w:before="0" w:after="0"/>
        <w:jc w:val="both"/>
        <w:rPr/>
      </w:pPr>
      <w:r>
        <w:rPr/>
      </w:r>
    </w:p>
    <w:tbl>
      <w:tblPr>
        <w:tblW w:w="6743" w:type="dxa"/>
        <w:jc w:val="left"/>
        <w:tblInd w:w="0" w:type="dxa"/>
        <w:tblLayout w:type="fixed"/>
        <w:tblCellMar>
          <w:top w:w="28" w:type="dxa"/>
          <w:left w:w="28" w:type="dxa"/>
          <w:bottom w:w="28" w:type="dxa"/>
          <w:right w:w="28" w:type="dxa"/>
        </w:tblCellMar>
      </w:tblPr>
      <w:tblGrid>
        <w:gridCol w:w="678"/>
        <w:gridCol w:w="597"/>
        <w:gridCol w:w="600"/>
        <w:gridCol w:w="199"/>
        <w:gridCol w:w="199"/>
        <w:gridCol w:w="199"/>
        <w:gridCol w:w="199"/>
        <w:gridCol w:w="199"/>
        <w:gridCol w:w="199"/>
        <w:gridCol w:w="1076"/>
        <w:gridCol w:w="1076"/>
        <w:gridCol w:w="1522"/>
      </w:tblGrid>
      <w:tr>
        <w:trPr/>
        <w:tc>
          <w:tcPr>
            <w:tcW w:w="67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HF Foods Group Inc.</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Date: March 16, 2026</w:t>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By:</w:t>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 Felix Lin</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Felix Lin</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President and Chief Executive Officer</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(Principal Executive Officer)</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Date: March 16, 2026</w:t>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By:</w:t>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 Paul McGarry</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Paul McGarry</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Chief Financial Officer</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Financial and Accounting Officer)</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as amended, this report has been signed below by the following persons on behalf of the Registrant and in the capacities and on the dates indicated.</w:t>
      </w:r>
    </w:p>
    <w:p>
      <w:pPr>
        <w:pStyle w:val="TextBody"/>
        <w:bidi w:val="0"/>
        <w:spacing w:before="0" w:after="0"/>
        <w:jc w:val="both"/>
        <w:rPr/>
      </w:pPr>
      <w:r>
        <w:rPr/>
      </w:r>
    </w:p>
    <w:tbl>
      <w:tblPr>
        <w:tblW w:w="7163" w:type="dxa"/>
        <w:jc w:val="left"/>
        <w:tblInd w:w="0" w:type="dxa"/>
        <w:tblLayout w:type="fixed"/>
        <w:tblCellMar>
          <w:top w:w="28" w:type="dxa"/>
          <w:left w:w="28" w:type="dxa"/>
          <w:bottom w:w="28" w:type="dxa"/>
          <w:right w:w="28" w:type="dxa"/>
        </w:tblCellMar>
      </w:tblPr>
      <w:tblGrid>
        <w:gridCol w:w="526"/>
        <w:gridCol w:w="463"/>
        <w:gridCol w:w="466"/>
        <w:gridCol w:w="109"/>
        <w:gridCol w:w="109"/>
        <w:gridCol w:w="109"/>
        <w:gridCol w:w="1204"/>
        <w:gridCol w:w="1204"/>
        <w:gridCol w:w="1221"/>
        <w:gridCol w:w="109"/>
        <w:gridCol w:w="109"/>
        <w:gridCol w:w="109"/>
        <w:gridCol w:w="414"/>
        <w:gridCol w:w="414"/>
        <w:gridCol w:w="597"/>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Date</w:t>
            </w:r>
          </w:p>
        </w:tc>
      </w:tr>
      <w:tr>
        <w:trPr/>
        <w:tc>
          <w:tcPr>
            <w:tcW w:w="1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 Felix 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Chief Executive Officer and 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March 16, 2026</w:t>
            </w:r>
          </w:p>
        </w:tc>
      </w:tr>
      <w:tr>
        <w:trPr/>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Felix 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 Paul McGarry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March 16, 2026</w:t>
            </w:r>
          </w:p>
        </w:tc>
      </w:tr>
      <w:tr>
        <w:trPr/>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Paul McGarry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 Richard Diaz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March 16, 2026</w:t>
            </w:r>
          </w:p>
        </w:tc>
      </w:tr>
      <w:tr>
        <w:trPr/>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Richard Diaz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 Dennis Lam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March 16, 2026</w:t>
            </w:r>
          </w:p>
        </w:tc>
      </w:tr>
      <w:tr>
        <w:trPr/>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Dennis Lam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 Jeffery Taylor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March 16, 2026</w:t>
            </w:r>
          </w:p>
        </w:tc>
      </w:tr>
      <w:tr>
        <w:trPr/>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Jeffery Taylor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31445"/>
                <wp:effectExtent l="0" t="0" r="0" b="0"/>
                <wp:wrapNone/>
                <wp:docPr id="80" name="Frame7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77</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0"/>
        <w:jc w:val="right"/>
        <w:rPr>
          <w:rFonts w:ascii="Arial;sans-serif" w:hAnsi="Arial;sans-serif"/>
          <w:b/>
          <w:color w:val="000000"/>
          <w:sz w:val="20"/>
        </w:rPr>
      </w:pPr>
      <w:r>
        <w:rPr>
          <w:rFonts w:ascii="Arial;sans-serif" w:hAnsi="Arial;sans-serif"/>
          <w:b/>
          <w:color w:val="000000"/>
          <w:sz w:val="20"/>
        </w:rPr>
        <w:t>Exhibit 21.1</w:t>
      </w:r>
    </w:p>
    <w:p>
      <w:pPr>
        <w:pStyle w:val="TextBody"/>
        <w:bidi w:val="0"/>
        <w:spacing w:before="0" w:after="0"/>
        <w:jc w:val="center"/>
        <w:rPr/>
      </w:pPr>
      <w:r>
        <w:rPr/>
      </w:r>
    </w:p>
    <w:p>
      <w:pPr>
        <w:pStyle w:val="TextBody"/>
        <w:bidi w:val="0"/>
        <w:spacing w:lineRule="auto" w:line="333" w:before="0" w:after="0"/>
        <w:jc w:val="center"/>
        <w:rPr>
          <w:rFonts w:ascii="Arial;sans-serif" w:hAnsi="Arial;sans-serif"/>
          <w:b/>
          <w:color w:val="000000"/>
          <w:sz w:val="24"/>
        </w:rPr>
      </w:pPr>
      <w:r>
        <w:rPr>
          <w:rFonts w:ascii="Arial;sans-serif" w:hAnsi="Arial;sans-serif"/>
          <w:b/>
          <w:color w:val="000000"/>
          <w:sz w:val="24"/>
        </w:rPr>
        <w:t>HF FOODS GROUP INC.</w:t>
      </w:r>
    </w:p>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24"/>
        </w:rPr>
      </w:pPr>
      <w:r>
        <w:rPr>
          <w:rFonts w:ascii="Arial;sans-serif" w:hAnsi="Arial;sans-serif"/>
          <w:b/>
          <w:color w:val="000000"/>
          <w:sz w:val="24"/>
        </w:rPr>
        <w:t>Subsidiaries</w:t>
      </w:r>
    </w:p>
    <w:p>
      <w:pPr>
        <w:pStyle w:val="TextBody"/>
        <w:bidi w:val="0"/>
        <w:spacing w:before="0" w:after="0"/>
        <w:jc w:val="center"/>
        <w:rPr/>
      </w:pPr>
      <w:r>
        <w:rPr/>
      </w:r>
    </w:p>
    <w:tbl>
      <w:tblPr>
        <w:tblW w:w="9044" w:type="dxa"/>
        <w:jc w:val="left"/>
        <w:tblInd w:w="0" w:type="dxa"/>
        <w:tblLayout w:type="fixed"/>
        <w:tblCellMar>
          <w:top w:w="28" w:type="dxa"/>
          <w:left w:w="28" w:type="dxa"/>
          <w:bottom w:w="28" w:type="dxa"/>
          <w:right w:w="28" w:type="dxa"/>
        </w:tblCellMar>
      </w:tblPr>
      <w:tblGrid>
        <w:gridCol w:w="2487"/>
        <w:gridCol w:w="2180"/>
        <w:gridCol w:w="2203"/>
        <w:gridCol w:w="636"/>
        <w:gridCol w:w="636"/>
        <w:gridCol w:w="902"/>
      </w:tblGrid>
      <w:tr>
        <w:trPr/>
        <w:tc>
          <w:tcPr>
            <w:tcW w:w="2487"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top w:val="single" w:sz="4" w:space="0" w:color="4F81BD"/>
              <w:left w:val="single" w:sz="4" w:space="0" w:color="4F81BD"/>
            </w:tcBorders>
            <w:shd w:fill="4F81BD" w:val="clear"/>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FFFFFF"/>
                <w:sz w:val="20"/>
              </w:rPr>
            </w:pPr>
            <w:r>
              <w:rPr>
                <w:rFonts w:ascii="Arial;sans-serif" w:hAnsi="Arial;sans-serif"/>
                <w:b/>
                <w:color w:val="FFFFFF"/>
                <w:sz w:val="20"/>
              </w:rPr>
              <w:t>Entity Name</w:t>
            </w:r>
          </w:p>
        </w:tc>
        <w:tc>
          <w:tcPr>
            <w:tcW w:w="2174" w:type="dxa"/>
            <w:gridSpan w:val="3"/>
            <w:tcBorders>
              <w:top w:val="single" w:sz="4" w:space="0" w:color="4F81BD"/>
              <w:right w:val="single" w:sz="4" w:space="0" w:color="4F81BD"/>
            </w:tcBorders>
            <w:shd w:fill="4F81BD" w:val="clear"/>
            <w:tcMar>
              <w:top w:w="30" w:type="dxa"/>
              <w:left w:w="0" w:type="dxa"/>
              <w:bottom w:w="0" w:type="dxa"/>
            </w:tcMar>
            <w:vAlign w:val="center"/>
          </w:tcPr>
          <w:p>
            <w:pPr>
              <w:pStyle w:val="TableContents"/>
              <w:bidi w:val="0"/>
              <w:spacing w:lineRule="auto" w:line="240" w:before="0" w:after="283"/>
              <w:jc w:val="left"/>
              <w:rPr>
                <w:rFonts w:ascii="Arial;sans-serif" w:hAnsi="Arial;sans-serif"/>
                <w:b/>
                <w:color w:val="FFFFFF"/>
                <w:sz w:val="20"/>
              </w:rPr>
            </w:pPr>
            <w:r>
              <w:rPr>
                <w:rFonts w:ascii="Arial;sans-serif" w:hAnsi="Arial;sans-serif"/>
                <w:b/>
                <w:color w:val="FFFFFF"/>
                <w:sz w:val="20"/>
              </w:rPr>
              <w:t>State of Incorporation</w:t>
            </w:r>
          </w:p>
        </w:tc>
      </w:tr>
      <w:tr>
        <w:trPr/>
        <w:tc>
          <w:tcPr>
            <w:tcW w:w="6870"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273 Fifth Avenue, L.L.C.</w:t>
            </w:r>
          </w:p>
        </w:tc>
        <w:tc>
          <w:tcPr>
            <w:tcW w:w="2174"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6870"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 &amp; Kie, LLC</w:t>
            </w:r>
          </w:p>
        </w:tc>
        <w:tc>
          <w:tcPr>
            <w:tcW w:w="2174"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Arizona</w:t>
            </w:r>
          </w:p>
        </w:tc>
      </w:tr>
      <w:tr>
        <w:trPr/>
        <w:tc>
          <w:tcPr>
            <w:tcW w:w="6870"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American Fortune Foods, Inc.</w:t>
            </w:r>
          </w:p>
        </w:tc>
        <w:tc>
          <w:tcPr>
            <w:tcW w:w="2174"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w:t>
            </w:r>
          </w:p>
        </w:tc>
      </w:tr>
      <w:tr>
        <w:trPr/>
        <w:tc>
          <w:tcPr>
            <w:tcW w:w="6870"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Asahi Food, Inc (ownership 49%)</w:t>
            </w:r>
          </w:p>
        </w:tc>
        <w:tc>
          <w:tcPr>
            <w:tcW w:w="2174"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Colorado</w:t>
            </w:r>
          </w:p>
        </w:tc>
      </w:tr>
      <w:tr>
        <w:trPr/>
        <w:tc>
          <w:tcPr>
            <w:tcW w:w="6870"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 &amp; L Trading, LLC</w:t>
            </w:r>
          </w:p>
        </w:tc>
        <w:tc>
          <w:tcPr>
            <w:tcW w:w="2174"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Washington</w:t>
            </w:r>
          </w:p>
        </w:tc>
      </w:tr>
      <w:tr>
        <w:trPr/>
        <w:tc>
          <w:tcPr>
            <w:tcW w:w="6870"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B&amp;B Trucking Services, Inc.</w:t>
            </w:r>
          </w:p>
        </w:tc>
        <w:tc>
          <w:tcPr>
            <w:tcW w:w="2174"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Florida</w:t>
            </w:r>
          </w:p>
        </w:tc>
      </w:tr>
      <w:tr>
        <w:trPr/>
        <w:tc>
          <w:tcPr>
            <w:tcW w:w="6870"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B&amp;R Global Holdings, Inc.</w:t>
            </w:r>
          </w:p>
        </w:tc>
        <w:tc>
          <w:tcPr>
            <w:tcW w:w="2174"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6870"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B&amp;R Global Services, LLC</w:t>
            </w:r>
          </w:p>
        </w:tc>
        <w:tc>
          <w:tcPr>
            <w:tcW w:w="2174"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6870"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B&amp;R Group Logistics Holding LLC</w:t>
            </w:r>
          </w:p>
        </w:tc>
        <w:tc>
          <w:tcPr>
            <w:tcW w:w="2174"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6870"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B&amp;R Realty, LLC</w:t>
            </w:r>
          </w:p>
        </w:tc>
        <w:tc>
          <w:tcPr>
            <w:tcW w:w="2174"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w:t>
            </w:r>
          </w:p>
        </w:tc>
      </w:tr>
      <w:tr>
        <w:trPr/>
        <w:tc>
          <w:tcPr>
            <w:tcW w:w="6870"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Big Sea Realty, LLC</w:t>
            </w:r>
          </w:p>
        </w:tc>
        <w:tc>
          <w:tcPr>
            <w:tcW w:w="2174"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Washington</w:t>
            </w:r>
          </w:p>
        </w:tc>
      </w:tr>
      <w:tr>
        <w:trPr/>
        <w:tc>
          <w:tcPr>
            <w:tcW w:w="6870"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Capital Trading, LLC</w:t>
            </w:r>
          </w:p>
        </w:tc>
        <w:tc>
          <w:tcPr>
            <w:tcW w:w="2174"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Utah</w:t>
            </w:r>
          </w:p>
        </w:tc>
      </w:tr>
      <w:tr>
        <w:trPr/>
        <w:tc>
          <w:tcPr>
            <w:tcW w:w="6870"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Chinesetg, Inc.</w:t>
            </w:r>
          </w:p>
        </w:tc>
        <w:tc>
          <w:tcPr>
            <w:tcW w:w="2174"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York</w:t>
            </w:r>
          </w:p>
        </w:tc>
      </w:tr>
      <w:tr>
        <w:trPr/>
        <w:tc>
          <w:tcPr>
            <w:tcW w:w="6870"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Fortune Liberty, LLC</w:t>
            </w:r>
          </w:p>
        </w:tc>
        <w:tc>
          <w:tcPr>
            <w:tcW w:w="2174"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Utah</w:t>
            </w:r>
          </w:p>
        </w:tc>
      </w:tr>
      <w:tr>
        <w:trPr/>
        <w:tc>
          <w:tcPr>
            <w:tcW w:w="6870" w:type="dxa"/>
            <w:gridSpan w:val="3"/>
            <w:tcBorders>
              <w:top w:val="single" w:sz="4" w:space="0" w:color="95B3D7"/>
              <w:left w:val="single" w:sz="4" w:space="0" w:color="95B3D7"/>
            </w:tcBorders>
            <w:shd w:fill="DBE5F1" w:val="clear"/>
            <w:tcMar>
              <w:top w:w="30" w:type="dxa"/>
              <w:bottom w:w="0" w:type="dxa"/>
              <w:right w:w="0" w:type="dxa"/>
            </w:tcMar>
            <w:vAlign w:val="center"/>
          </w:tcPr>
          <w:p>
            <w:pPr>
              <w:pStyle w:val="TableContents"/>
              <w:bidi w:val="0"/>
              <w:spacing w:lineRule="auto" w:line="288" w:before="33" w:after="30"/>
              <w:jc w:val="left"/>
              <w:rPr/>
            </w:pPr>
            <w:r>
              <w:rPr>
                <w:rFonts w:ascii="Arial;sans-serif" w:hAnsi="Arial;sans-serif"/>
                <w:b/>
                <w:color w:val="000000"/>
                <w:sz w:val="20"/>
              </w:rPr>
              <w:t xml:space="preserve">Fujian Hefeng Enterprise Management Co., Ltd </w:t>
            </w:r>
            <w:r>
              <w:rPr>
                <w:rFonts w:eastAsia="PMingLiU;serif"/>
                <w:b/>
                <w:color w:val="000000"/>
                <w:sz w:val="20"/>
              </w:rPr>
              <w:t>福建合丰企业管理有限公司</w:t>
            </w:r>
          </w:p>
        </w:tc>
        <w:tc>
          <w:tcPr>
            <w:tcW w:w="2174"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Fujian, China (Foreign)</w:t>
            </w:r>
          </w:p>
        </w:tc>
      </w:tr>
      <w:tr>
        <w:trPr/>
        <w:tc>
          <w:tcPr>
            <w:tcW w:w="6870"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Genstar Realty, LLC</w:t>
            </w:r>
          </w:p>
        </w:tc>
        <w:tc>
          <w:tcPr>
            <w:tcW w:w="2174"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w:t>
            </w:r>
          </w:p>
        </w:tc>
      </w:tr>
      <w:tr>
        <w:trPr/>
        <w:tc>
          <w:tcPr>
            <w:tcW w:w="6870"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GM Food Supplies, Inc.</w:t>
            </w:r>
          </w:p>
        </w:tc>
        <w:tc>
          <w:tcPr>
            <w:tcW w:w="2174"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w:t>
            </w:r>
          </w:p>
        </w:tc>
      </w:tr>
      <w:tr>
        <w:trPr/>
        <w:tc>
          <w:tcPr>
            <w:tcW w:w="6870" w:type="dxa"/>
            <w:gridSpan w:val="3"/>
            <w:tcBorders>
              <w:top w:val="single" w:sz="4" w:space="0" w:color="95B3D7"/>
              <w:left w:val="single" w:sz="4" w:space="0" w:color="95B3D7"/>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Great Wall Seafood IL, LLC</w:t>
            </w:r>
          </w:p>
        </w:tc>
        <w:tc>
          <w:tcPr>
            <w:tcW w:w="2174"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Illinois</w:t>
            </w:r>
          </w:p>
        </w:tc>
      </w:tr>
      <w:tr>
        <w:trPr/>
        <w:tc>
          <w:tcPr>
            <w:tcW w:w="6870" w:type="dxa"/>
            <w:gridSpan w:val="3"/>
            <w:tcBorders>
              <w:top w:val="single" w:sz="4" w:space="0" w:color="95B3D7"/>
              <w:left w:val="single" w:sz="4" w:space="0" w:color="95B3D7"/>
            </w:tcBorders>
            <w:shd w:fill="DBE5F1" w:val="clear"/>
            <w:tcMar>
              <w:top w:w="3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Great Wall Seafood TX, LLC</w:t>
            </w:r>
          </w:p>
        </w:tc>
        <w:tc>
          <w:tcPr>
            <w:tcW w:w="2174"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Texas</w:t>
            </w:r>
          </w:p>
        </w:tc>
      </w:tr>
      <w:tr>
        <w:trPr/>
        <w:tc>
          <w:tcPr>
            <w:tcW w:w="6870" w:type="dxa"/>
            <w:gridSpan w:val="3"/>
            <w:tcBorders>
              <w:top w:val="single" w:sz="4" w:space="0" w:color="95B3D7"/>
              <w:left w:val="single" w:sz="4" w:space="0" w:color="95B3D7"/>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Great Wall Seafood VA, LLC</w:t>
            </w:r>
          </w:p>
        </w:tc>
        <w:tc>
          <w:tcPr>
            <w:tcW w:w="2174"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Virginia</w:t>
            </w:r>
          </w:p>
        </w:tc>
      </w:tr>
      <w:tr>
        <w:trPr/>
        <w:tc>
          <w:tcPr>
            <w:tcW w:w="6870"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Great Wall Seafood LA, LLC</w:t>
            </w:r>
          </w:p>
        </w:tc>
        <w:tc>
          <w:tcPr>
            <w:tcW w:w="2174"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w:t>
            </w:r>
          </w:p>
        </w:tc>
      </w:tr>
      <w:tr>
        <w:trPr/>
        <w:tc>
          <w:tcPr>
            <w:tcW w:w="6870"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Han Feng, Inc.</w:t>
            </w:r>
          </w:p>
        </w:tc>
        <w:tc>
          <w:tcPr>
            <w:tcW w:w="2174"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Carolina</w:t>
            </w:r>
          </w:p>
        </w:tc>
      </w:tr>
      <w:tr>
        <w:trPr/>
        <w:tc>
          <w:tcPr>
            <w:tcW w:w="6870"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Hayward Trucking, Inc.</w:t>
            </w:r>
          </w:p>
        </w:tc>
        <w:tc>
          <w:tcPr>
            <w:tcW w:w="2174"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w:t>
            </w:r>
          </w:p>
        </w:tc>
      </w:tr>
      <w:tr>
        <w:trPr/>
        <w:tc>
          <w:tcPr>
            <w:tcW w:w="6870"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HF Atlanta, LLC</w:t>
            </w:r>
          </w:p>
        </w:tc>
        <w:tc>
          <w:tcPr>
            <w:tcW w:w="2174"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Georgia</w:t>
            </w:r>
          </w:p>
        </w:tc>
      </w:tr>
      <w:tr>
        <w:trPr/>
        <w:tc>
          <w:tcPr>
            <w:tcW w:w="6870"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HF Charlotte, LLC</w:t>
            </w:r>
          </w:p>
        </w:tc>
        <w:tc>
          <w:tcPr>
            <w:tcW w:w="2174"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Charlotte</w:t>
            </w:r>
          </w:p>
        </w:tc>
      </w:tr>
      <w:tr>
        <w:trPr/>
        <w:tc>
          <w:tcPr>
            <w:tcW w:w="6870"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HF Group Holding Corp.</w:t>
            </w:r>
          </w:p>
        </w:tc>
        <w:tc>
          <w:tcPr>
            <w:tcW w:w="2174"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6870"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Kirnland Food Distribution, Inc.</w:t>
            </w:r>
          </w:p>
        </w:tc>
        <w:tc>
          <w:tcPr>
            <w:tcW w:w="2174"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Georgia</w:t>
            </w:r>
          </w:p>
        </w:tc>
      </w:tr>
      <w:tr>
        <w:trPr/>
        <w:tc>
          <w:tcPr>
            <w:tcW w:w="6870"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KYL Group, Inc.</w:t>
            </w:r>
          </w:p>
        </w:tc>
        <w:tc>
          <w:tcPr>
            <w:tcW w:w="2174"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Nevada</w:t>
            </w:r>
          </w:p>
        </w:tc>
      </w:tr>
      <w:tr>
        <w:trPr/>
        <w:tc>
          <w:tcPr>
            <w:tcW w:w="6870"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Lenfa Food, LLC</w:t>
            </w:r>
          </w:p>
        </w:tc>
        <w:tc>
          <w:tcPr>
            <w:tcW w:w="2174"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Colorado</w:t>
            </w:r>
          </w:p>
        </w:tc>
      </w:tr>
      <w:tr>
        <w:trPr/>
        <w:tc>
          <w:tcPr>
            <w:tcW w:w="6870"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Lucky Realty, LLC</w:t>
            </w:r>
          </w:p>
        </w:tc>
        <w:tc>
          <w:tcPr>
            <w:tcW w:w="2174"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w:t>
            </w:r>
          </w:p>
        </w:tc>
      </w:tr>
      <w:tr>
        <w:trPr/>
        <w:tc>
          <w:tcPr>
            <w:tcW w:w="6870"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Min Food, Inc. (ownership 60.25%)</w:t>
            </w:r>
          </w:p>
        </w:tc>
        <w:tc>
          <w:tcPr>
            <w:tcW w:w="2174"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w:t>
            </w:r>
          </w:p>
        </w:tc>
      </w:tr>
      <w:tr>
        <w:trPr/>
        <w:tc>
          <w:tcPr>
            <w:tcW w:w="6870"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Monterey Food Service, LLC (ownership 65%)</w:t>
            </w:r>
          </w:p>
        </w:tc>
        <w:tc>
          <w:tcPr>
            <w:tcW w:w="2174"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w:t>
            </w:r>
          </w:p>
        </w:tc>
      </w:tr>
      <w:tr>
        <w:trPr/>
        <w:tc>
          <w:tcPr>
            <w:tcW w:w="6870"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Mountain Food, LLC</w:t>
            </w:r>
          </w:p>
        </w:tc>
        <w:tc>
          <w:tcPr>
            <w:tcW w:w="2174"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Colorado</w:t>
            </w:r>
          </w:p>
        </w:tc>
      </w:tr>
      <w:tr>
        <w:trPr/>
        <w:tc>
          <w:tcPr>
            <w:tcW w:w="6870" w:type="dxa"/>
            <w:gridSpan w:val="3"/>
            <w:tcBorders>
              <w:top w:val="single" w:sz="4" w:space="0" w:color="95B3D7"/>
              <w:left w:val="single" w:sz="4"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Murray Properties, LLC</w:t>
            </w:r>
          </w:p>
        </w:tc>
        <w:tc>
          <w:tcPr>
            <w:tcW w:w="2174" w:type="dxa"/>
            <w:gridSpan w:val="3"/>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Utah</w:t>
            </w:r>
          </w:p>
        </w:tc>
      </w:tr>
      <w:tr>
        <w:trPr/>
        <w:tc>
          <w:tcPr>
            <w:tcW w:w="6870" w:type="dxa"/>
            <w:gridSpan w:val="3"/>
            <w:tcBorders>
              <w:top w:val="single" w:sz="4" w:space="0" w:color="95B3D7"/>
              <w:left w:val="single" w:sz="4"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New Southern Food Distributors, Inc.</w:t>
            </w:r>
          </w:p>
        </w:tc>
        <w:tc>
          <w:tcPr>
            <w:tcW w:w="2174" w:type="dxa"/>
            <w:gridSpan w:val="3"/>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Florida</w:t>
            </w:r>
          </w:p>
        </w:tc>
      </w:tr>
      <w:tr>
        <w:trPr/>
        <w:tc>
          <w:tcPr>
            <w:tcW w:w="6870" w:type="dxa"/>
            <w:gridSpan w:val="3"/>
            <w:tcBorders>
              <w:top w:val="single" w:sz="4" w:space="0" w:color="95B3D7"/>
              <w:left w:val="single" w:sz="4" w:space="0" w:color="95B3D7"/>
              <w:bottom w:val="single" w:sz="4" w:space="0" w:color="95B3D7"/>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Ocean West Food Services, LLC</w:t>
            </w:r>
          </w:p>
        </w:tc>
        <w:tc>
          <w:tcPr>
            <w:tcW w:w="2174" w:type="dxa"/>
            <w:gridSpan w:val="3"/>
            <w:tcBorders>
              <w:top w:val="single" w:sz="4" w:space="0" w:color="95B3D7"/>
              <w:left w:val="single" w:sz="4" w:space="0" w:color="95B3D7"/>
              <w:bottom w:val="single" w:sz="4" w:space="0" w:color="95B3D7"/>
              <w:right w:val="single" w:sz="4" w:space="0" w:color="95B3D7"/>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0"/>
        <w:jc w:val="right"/>
        <w:rPr>
          <w:rFonts w:ascii="Arial;sans-serif" w:hAnsi="Arial;sans-serif"/>
          <w:b/>
          <w:color w:val="000000"/>
          <w:sz w:val="20"/>
        </w:rPr>
      </w:pPr>
      <w:r>
        <w:rPr>
          <w:rFonts w:ascii="Arial;sans-serif" w:hAnsi="Arial;sans-serif"/>
          <w:b/>
          <w:color w:val="000000"/>
          <w:sz w:val="20"/>
        </w:rPr>
        <w:t>Exhibit 21.1</w:t>
      </w:r>
    </w:p>
    <w:p>
      <w:pPr>
        <w:pStyle w:val="TextBody"/>
        <w:bidi w:val="0"/>
        <w:spacing w:before="0" w:after="0"/>
        <w:jc w:val="center"/>
        <w:rPr/>
      </w:pPr>
      <w:r>
        <w:rPr/>
      </w:r>
    </w:p>
    <w:tbl>
      <w:tblPr>
        <w:tblW w:w="5968" w:type="dxa"/>
        <w:jc w:val="left"/>
        <w:tblInd w:w="0" w:type="dxa"/>
        <w:tblLayout w:type="fixed"/>
        <w:tblCellMar>
          <w:top w:w="28" w:type="dxa"/>
          <w:left w:w="28" w:type="dxa"/>
          <w:bottom w:w="28" w:type="dxa"/>
          <w:right w:w="28" w:type="dxa"/>
        </w:tblCellMar>
      </w:tblPr>
      <w:tblGrid>
        <w:gridCol w:w="453"/>
        <w:gridCol w:w="401"/>
        <w:gridCol w:w="401"/>
        <w:gridCol w:w="401"/>
        <w:gridCol w:w="401"/>
        <w:gridCol w:w="401"/>
        <w:gridCol w:w="1336"/>
        <w:gridCol w:w="636"/>
        <w:gridCol w:w="636"/>
        <w:gridCol w:w="902"/>
      </w:tblGrid>
      <w:tr>
        <w:trPr/>
        <w:tc>
          <w:tcPr>
            <w:tcW w:w="45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2458" w:type="dxa"/>
            <w:gridSpan w:val="6"/>
            <w:tcBorders>
              <w:top w:val="single" w:sz="4" w:space="0" w:color="4F81BD"/>
              <w:left w:val="single" w:sz="4" w:space="0" w:color="4F81BD"/>
              <w:bottom w:val="single" w:sz="4" w:space="0" w:color="95B3D7"/>
            </w:tcBorders>
            <w:shd w:fill="4F81BD" w:val="clear"/>
            <w:tcMar>
              <w:top w:w="30" w:type="dxa"/>
              <w:bottom w:w="30" w:type="dxa"/>
              <w:right w:w="0" w:type="dxa"/>
            </w:tcMar>
            <w:vAlign w:val="center"/>
          </w:tcPr>
          <w:p>
            <w:pPr>
              <w:pStyle w:val="TableContents"/>
              <w:bidi w:val="0"/>
              <w:spacing w:lineRule="auto" w:line="333" w:before="0" w:after="0"/>
              <w:jc w:val="left"/>
              <w:rPr>
                <w:rFonts w:ascii="Arial;sans-serif" w:hAnsi="Arial;sans-serif"/>
                <w:b/>
                <w:color w:val="FFFFFF"/>
                <w:sz w:val="20"/>
              </w:rPr>
            </w:pPr>
            <w:r>
              <w:rPr>
                <w:rFonts w:ascii="Arial;sans-serif" w:hAnsi="Arial;sans-serif"/>
                <w:b/>
                <w:color w:val="FFFFFF"/>
                <w:sz w:val="20"/>
              </w:rPr>
              <w:t>Entity Name</w:t>
            </w:r>
          </w:p>
        </w:tc>
        <w:tc>
          <w:tcPr>
            <w:tcW w:w="1336" w:type="dxa"/>
            <w:tcBorders/>
            <w:vAlign w:val="center"/>
          </w:tcPr>
          <w:p>
            <w:pPr>
              <w:pStyle w:val="TableContents"/>
              <w:bidi w:val="0"/>
              <w:spacing w:before="0" w:after="283"/>
              <w:jc w:val="left"/>
              <w:rPr>
                <w:sz w:val="4"/>
                <w:szCs w:val="4"/>
              </w:rPr>
            </w:pPr>
            <w:r>
              <w:rPr>
                <w:sz w:val="4"/>
                <w:szCs w:val="4"/>
              </w:rPr>
            </w:r>
          </w:p>
        </w:tc>
        <w:tc>
          <w:tcPr>
            <w:tcW w:w="2174" w:type="dxa"/>
            <w:gridSpan w:val="3"/>
            <w:tcBorders>
              <w:top w:val="single" w:sz="4" w:space="0" w:color="4F81BD"/>
              <w:right w:val="single" w:sz="4" w:space="0" w:color="4F81BD"/>
            </w:tcBorders>
            <w:shd w:fill="4F81BD" w:val="clear"/>
            <w:tcMar>
              <w:top w:w="30" w:type="dxa"/>
              <w:left w:w="0" w:type="dxa"/>
              <w:bottom w:w="0" w:type="dxa"/>
            </w:tcMar>
            <w:vAlign w:val="center"/>
          </w:tcPr>
          <w:p>
            <w:pPr>
              <w:pStyle w:val="TableContents"/>
              <w:bidi w:val="0"/>
              <w:spacing w:lineRule="auto" w:line="240" w:before="0" w:after="283"/>
              <w:jc w:val="left"/>
              <w:rPr>
                <w:rFonts w:ascii="Arial;sans-serif" w:hAnsi="Arial;sans-serif"/>
                <w:b/>
                <w:color w:val="FFFFFF"/>
                <w:sz w:val="20"/>
              </w:rPr>
            </w:pPr>
            <w:r>
              <w:rPr>
                <w:rFonts w:ascii="Arial;sans-serif" w:hAnsi="Arial;sans-serif"/>
                <w:b/>
                <w:color w:val="FFFFFF"/>
                <w:sz w:val="20"/>
              </w:rPr>
              <w:t>State of Incorporation</w:t>
            </w:r>
          </w:p>
        </w:tc>
      </w:tr>
      <w:tr>
        <w:trPr/>
        <w:tc>
          <w:tcPr>
            <w:tcW w:w="2458" w:type="dxa"/>
            <w:gridSpan w:val="6"/>
            <w:tcBorders>
              <w:top w:val="single" w:sz="4" w:space="0" w:color="95B3D7"/>
              <w:left w:val="single" w:sz="4" w:space="0" w:color="95B3D7"/>
              <w:bottom w:val="single" w:sz="4" w:space="0" w:color="95B3D7"/>
            </w:tcBorders>
            <w:shd w:fill="DBE5F1" w:val="clear"/>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 &amp; C Trading, LLC</w:t>
            </w:r>
          </w:p>
        </w:tc>
        <w:tc>
          <w:tcPr>
            <w:tcW w:w="1336" w:type="dxa"/>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Arizona</w:t>
            </w:r>
          </w:p>
        </w:tc>
        <w:tc>
          <w:tcPr>
            <w:tcW w:w="2174" w:type="dxa"/>
            <w:gridSpan w:val="3"/>
            <w:tcBorders/>
          </w:tcPr>
          <w:p>
            <w:pPr>
              <w:pStyle w:val="TableContents"/>
              <w:bidi w:val="0"/>
              <w:spacing w:before="0" w:after="283"/>
              <w:jc w:val="left"/>
              <w:rPr>
                <w:sz w:val="4"/>
                <w:szCs w:val="4"/>
              </w:rPr>
            </w:pPr>
            <w:r>
              <w:rPr>
                <w:sz w:val="4"/>
                <w:szCs w:val="4"/>
              </w:rPr>
            </w:r>
          </w:p>
        </w:tc>
      </w:tr>
      <w:tr>
        <w:trPr/>
        <w:tc>
          <w:tcPr>
            <w:tcW w:w="2458" w:type="dxa"/>
            <w:gridSpan w:val="6"/>
            <w:tcBorders>
              <w:top w:val="single" w:sz="4" w:space="0" w:color="95B3D7"/>
              <w:left w:val="single" w:sz="4" w:space="0" w:color="95B3D7"/>
              <w:bottom w:val="single" w:sz="4" w:space="0" w:color="95B3D7"/>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R&amp;N Charlotte, LLC</w:t>
            </w:r>
          </w:p>
        </w:tc>
        <w:tc>
          <w:tcPr>
            <w:tcW w:w="1336" w:type="dxa"/>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Carolina</w:t>
            </w:r>
          </w:p>
        </w:tc>
        <w:tc>
          <w:tcPr>
            <w:tcW w:w="2174" w:type="dxa"/>
            <w:gridSpan w:val="3"/>
            <w:tcBorders/>
          </w:tcPr>
          <w:p>
            <w:pPr>
              <w:pStyle w:val="TableContents"/>
              <w:bidi w:val="0"/>
              <w:spacing w:before="0" w:after="283"/>
              <w:jc w:val="left"/>
              <w:rPr>
                <w:sz w:val="4"/>
                <w:szCs w:val="4"/>
              </w:rPr>
            </w:pPr>
            <w:r>
              <w:rPr>
                <w:sz w:val="4"/>
                <w:szCs w:val="4"/>
              </w:rPr>
            </w:r>
          </w:p>
        </w:tc>
      </w:tr>
      <w:tr>
        <w:trPr/>
        <w:tc>
          <w:tcPr>
            <w:tcW w:w="2458" w:type="dxa"/>
            <w:gridSpan w:val="6"/>
            <w:tcBorders>
              <w:top w:val="single" w:sz="4" w:space="0" w:color="95B3D7"/>
              <w:left w:val="single" w:sz="4" w:space="0" w:color="95B3D7"/>
              <w:bottom w:val="single" w:sz="4" w:space="0" w:color="95B3D7"/>
            </w:tcBorders>
            <w:shd w:fill="DBE5F1" w:val="clear"/>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R&amp;N Holdings, LLC</w:t>
            </w:r>
          </w:p>
        </w:tc>
        <w:tc>
          <w:tcPr>
            <w:tcW w:w="1336" w:type="dxa"/>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Carolina</w:t>
            </w:r>
          </w:p>
        </w:tc>
        <w:tc>
          <w:tcPr>
            <w:tcW w:w="2174" w:type="dxa"/>
            <w:gridSpan w:val="3"/>
            <w:tcBorders/>
          </w:tcPr>
          <w:p>
            <w:pPr>
              <w:pStyle w:val="TableContents"/>
              <w:bidi w:val="0"/>
              <w:spacing w:before="0" w:after="283"/>
              <w:jc w:val="left"/>
              <w:rPr>
                <w:sz w:val="4"/>
                <w:szCs w:val="4"/>
              </w:rPr>
            </w:pPr>
            <w:r>
              <w:rPr>
                <w:sz w:val="4"/>
                <w:szCs w:val="4"/>
              </w:rPr>
            </w:r>
          </w:p>
        </w:tc>
      </w:tr>
      <w:tr>
        <w:trPr/>
        <w:tc>
          <w:tcPr>
            <w:tcW w:w="2458" w:type="dxa"/>
            <w:gridSpan w:val="6"/>
            <w:tcBorders>
              <w:top w:val="single" w:sz="4" w:space="0" w:color="95B3D7"/>
              <w:left w:val="single" w:sz="4" w:space="0" w:color="95B3D7"/>
              <w:bottom w:val="single" w:sz="4" w:space="0" w:color="95B3D7"/>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Rongcheng Trading, LLC</w:t>
            </w:r>
          </w:p>
        </w:tc>
        <w:tc>
          <w:tcPr>
            <w:tcW w:w="1336" w:type="dxa"/>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w:t>
            </w:r>
          </w:p>
        </w:tc>
        <w:tc>
          <w:tcPr>
            <w:tcW w:w="2174" w:type="dxa"/>
            <w:gridSpan w:val="3"/>
            <w:tcBorders/>
          </w:tcPr>
          <w:p>
            <w:pPr>
              <w:pStyle w:val="TableContents"/>
              <w:bidi w:val="0"/>
              <w:spacing w:before="0" w:after="283"/>
              <w:jc w:val="left"/>
              <w:rPr>
                <w:sz w:val="4"/>
                <w:szCs w:val="4"/>
              </w:rPr>
            </w:pPr>
            <w:r>
              <w:rPr>
                <w:sz w:val="4"/>
                <w:szCs w:val="4"/>
              </w:rPr>
            </w:r>
          </w:p>
        </w:tc>
      </w:tr>
      <w:tr>
        <w:trPr/>
        <w:tc>
          <w:tcPr>
            <w:tcW w:w="2458" w:type="dxa"/>
            <w:gridSpan w:val="6"/>
            <w:tcBorders>
              <w:top w:val="single" w:sz="4" w:space="0" w:color="95B3D7"/>
              <w:left w:val="single" w:sz="4" w:space="0" w:color="95B3D7"/>
              <w:bottom w:val="single" w:sz="4" w:space="0" w:color="95B3D7"/>
            </w:tcBorders>
            <w:shd w:fill="DBE5F1" w:val="clear"/>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Royal Service, Inc.</w:t>
            </w:r>
          </w:p>
        </w:tc>
        <w:tc>
          <w:tcPr>
            <w:tcW w:w="1336" w:type="dxa"/>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Oregon</w:t>
            </w:r>
          </w:p>
        </w:tc>
        <w:tc>
          <w:tcPr>
            <w:tcW w:w="2174" w:type="dxa"/>
            <w:gridSpan w:val="3"/>
            <w:tcBorders/>
          </w:tcPr>
          <w:p>
            <w:pPr>
              <w:pStyle w:val="TableContents"/>
              <w:bidi w:val="0"/>
              <w:spacing w:before="0" w:after="283"/>
              <w:jc w:val="left"/>
              <w:rPr>
                <w:sz w:val="4"/>
                <w:szCs w:val="4"/>
              </w:rPr>
            </w:pPr>
            <w:r>
              <w:rPr>
                <w:sz w:val="4"/>
                <w:szCs w:val="4"/>
              </w:rPr>
            </w:r>
          </w:p>
        </w:tc>
      </w:tr>
      <w:tr>
        <w:trPr/>
        <w:tc>
          <w:tcPr>
            <w:tcW w:w="2458" w:type="dxa"/>
            <w:gridSpan w:val="6"/>
            <w:tcBorders>
              <w:top w:val="single" w:sz="4" w:space="0" w:color="95B3D7"/>
              <w:left w:val="single" w:sz="4" w:space="0" w:color="95B3D7"/>
              <w:bottom w:val="single" w:sz="4" w:space="0" w:color="95B3D7"/>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Sunflower 2.0 LLC</w:t>
            </w:r>
          </w:p>
        </w:tc>
        <w:tc>
          <w:tcPr>
            <w:tcW w:w="1336" w:type="dxa"/>
            <w:tcBorders>
              <w:top w:val="single" w:sz="4" w:space="0" w:color="95B3D7"/>
              <w:left w:val="single" w:sz="4" w:space="0" w:color="95B3D7"/>
              <w:right w:val="single" w:sz="4" w:space="0" w:color="95B3D7"/>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Kansas</w:t>
            </w:r>
          </w:p>
        </w:tc>
        <w:tc>
          <w:tcPr>
            <w:tcW w:w="2174" w:type="dxa"/>
            <w:gridSpan w:val="3"/>
            <w:tcBorders/>
          </w:tcPr>
          <w:p>
            <w:pPr>
              <w:pStyle w:val="TableContents"/>
              <w:bidi w:val="0"/>
              <w:spacing w:before="0" w:after="283"/>
              <w:jc w:val="left"/>
              <w:rPr>
                <w:sz w:val="4"/>
                <w:szCs w:val="4"/>
              </w:rPr>
            </w:pPr>
            <w:r>
              <w:rPr>
                <w:sz w:val="4"/>
                <w:szCs w:val="4"/>
              </w:rPr>
            </w:r>
          </w:p>
        </w:tc>
      </w:tr>
      <w:tr>
        <w:trPr/>
        <w:tc>
          <w:tcPr>
            <w:tcW w:w="2458" w:type="dxa"/>
            <w:gridSpan w:val="6"/>
            <w:tcBorders>
              <w:top w:val="single" w:sz="4" w:space="0" w:color="95B3D7"/>
              <w:left w:val="single" w:sz="4" w:space="0" w:color="95B3D7"/>
              <w:bottom w:val="single" w:sz="4" w:space="0" w:color="95B3D7"/>
            </w:tcBorders>
            <w:shd w:fill="DBE5F1" w:val="clear"/>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T&amp;G Group, LLC</w:t>
            </w:r>
          </w:p>
        </w:tc>
        <w:tc>
          <w:tcPr>
            <w:tcW w:w="1336" w:type="dxa"/>
            <w:tcBorders>
              <w:top w:val="single" w:sz="4" w:space="0" w:color="95B3D7"/>
              <w:left w:val="single" w:sz="4" w:space="0" w:color="95B3D7"/>
              <w:right w:val="single" w:sz="4" w:space="0" w:color="95B3D7"/>
            </w:tcBorders>
            <w:shd w:fill="DBE5F1" w:val="clear"/>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w:t>
            </w:r>
          </w:p>
        </w:tc>
        <w:tc>
          <w:tcPr>
            <w:tcW w:w="2174" w:type="dxa"/>
            <w:gridSpan w:val="3"/>
            <w:tcBorders/>
          </w:tcPr>
          <w:p>
            <w:pPr>
              <w:pStyle w:val="TableContents"/>
              <w:bidi w:val="0"/>
              <w:spacing w:before="0" w:after="283"/>
              <w:jc w:val="left"/>
              <w:rPr>
                <w:sz w:val="4"/>
                <w:szCs w:val="4"/>
              </w:rPr>
            </w:pPr>
            <w:r>
              <w:rPr>
                <w:sz w:val="4"/>
                <w:szCs w:val="4"/>
              </w:rPr>
            </w:r>
          </w:p>
        </w:tc>
      </w:tr>
      <w:tr>
        <w:trPr/>
        <w:tc>
          <w:tcPr>
            <w:tcW w:w="2458" w:type="dxa"/>
            <w:gridSpan w:val="6"/>
            <w:tcBorders>
              <w:top w:val="single" w:sz="4" w:space="0" w:color="95B3D7"/>
              <w:left w:val="single" w:sz="4" w:space="0" w:color="95B3D7"/>
              <w:bottom w:val="single" w:sz="4" w:space="0" w:color="95B3D7"/>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Win Woo Trading, LLC</w:t>
            </w:r>
          </w:p>
        </w:tc>
        <w:tc>
          <w:tcPr>
            <w:tcW w:w="1336" w:type="dxa"/>
            <w:tcBorders>
              <w:top w:val="single" w:sz="4" w:space="0" w:color="95B3D7"/>
              <w:left w:val="single" w:sz="4" w:space="0" w:color="95B3D7"/>
              <w:bottom w:val="single" w:sz="4" w:space="0" w:color="95B3D7"/>
              <w:right w:val="single" w:sz="4" w:space="0" w:color="95B3D7"/>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w:t>
            </w:r>
          </w:p>
        </w:tc>
        <w:tc>
          <w:tcPr>
            <w:tcW w:w="2174" w:type="dxa"/>
            <w:gridSpan w:val="3"/>
            <w:tcBorders/>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90"/>
        <w:jc w:val="left"/>
        <w:rPr/>
      </w:pPr>
      <w:r>
        <w:rPr/>
      </w:r>
    </w:p>
    <w:p>
      <w:pPr>
        <w:pStyle w:val="TextBody"/>
        <w:bidi w:val="0"/>
        <w:spacing w:before="240" w:after="283"/>
        <w:ind w:left="0" w:right="0" w:firstLine="9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23.1</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u w:val="single"/>
        </w:rPr>
      </w:pPr>
      <w:r>
        <w:rPr>
          <w:rFonts w:ascii="Arial;sans-serif" w:hAnsi="Arial;sans-serif"/>
          <w:b w:val="false"/>
          <w:color w:val="000000"/>
          <w:sz w:val="20"/>
          <w:u w:val="single"/>
        </w:rPr>
        <w:t>Consent of Independent Registered Public Accounting Firm</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hereby consent to the incorporation by reference in the Registration Statements on Form S-3 (No. 333-281918 and 333-283937) and Form S-8 (No. 333-257100 and 333-279961) of HF Foods Group Inc. (the Company) of our reports dated March 16, 2026, relating to the consolidated financial statements, and the effectiveness of the Company’s internal control over financial reporting, which appears in this Annual Report on Form 10-K. Our report on the effectiveness of internal control over financial reporting expresses an adverse opinion on the effectiveness of the Company’s internal control over financial reporting as of December 31, 2025.</w:t>
      </w:r>
    </w:p>
    <w:p>
      <w:pPr>
        <w:pStyle w:val="TextBody"/>
        <w:bidi w:val="0"/>
        <w:spacing w:before="0" w:after="0"/>
        <w:jc w:val="left"/>
        <w:rPr/>
      </w:pPr>
      <w:r>
        <w:rPr/>
      </w:r>
    </w:p>
    <w:p>
      <w:pPr>
        <w:pStyle w:val="TextBody"/>
        <w:bidi w:val="0"/>
        <w:spacing w:lineRule="auto" w:line="480" w:before="0" w:after="0"/>
        <w:jc w:val="both"/>
        <w:rPr>
          <w:rFonts w:ascii="Arial;sans-serif" w:hAnsi="Arial;sans-serif"/>
          <w:b w:val="false"/>
          <w:color w:val="000000"/>
          <w:sz w:val="20"/>
        </w:rPr>
      </w:pPr>
      <w:r>
        <w:rPr>
          <w:rFonts w:ascii="Arial;sans-serif" w:hAnsi="Arial;sans-serif"/>
          <w:b w:val="false"/>
          <w:color w:val="000000"/>
          <w:sz w:val="20"/>
        </w:rPr>
        <w:t>/s/ BDO USA, P.C.</w:t>
      </w:r>
    </w:p>
    <w:p>
      <w:pPr>
        <w:pStyle w:val="TextBody"/>
        <w:bidi w:val="0"/>
        <w:spacing w:lineRule="auto" w:line="480" w:before="0" w:after="0"/>
        <w:jc w:val="both"/>
        <w:rPr>
          <w:rFonts w:ascii="Arial;sans-serif" w:hAnsi="Arial;sans-serif"/>
          <w:b w:val="false"/>
          <w:color w:val="000000"/>
          <w:sz w:val="20"/>
        </w:rPr>
      </w:pPr>
      <w:r>
        <w:rPr>
          <w:rFonts w:ascii="Arial;sans-serif" w:hAnsi="Arial;sans-serif"/>
          <w:b w:val="false"/>
          <w:color w:val="000000"/>
          <w:sz w:val="20"/>
        </w:rPr>
        <w:t>Troy, Michigan</w:t>
      </w:r>
    </w:p>
    <w:p>
      <w:pPr>
        <w:pStyle w:val="TextBody"/>
        <w:bidi w:val="0"/>
        <w:spacing w:lineRule="auto" w:line="480"/>
        <w:jc w:val="both"/>
        <w:rPr>
          <w:rFonts w:ascii="Arial;sans-serif" w:hAnsi="Arial;sans-serif"/>
          <w:b w:val="false"/>
          <w:color w:val="000000"/>
          <w:sz w:val="20"/>
        </w:rPr>
      </w:pPr>
      <w:r>
        <w:rPr>
          <w:rFonts w:ascii="Arial;sans-serif" w:hAnsi="Arial;sans-serif"/>
          <w:b w:val="false"/>
          <w:color w:val="000000"/>
          <w:sz w:val="20"/>
        </w:rPr>
        <w:t>March 16,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of Chief Executive Officer</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 Felix Lin, certify that:</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Annual Report on Form 10-K of HF Foods Group Inc.;</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834" w:type="dxa"/>
        <w:jc w:val="left"/>
        <w:tblInd w:w="0" w:type="dxa"/>
        <w:tblLayout w:type="fixed"/>
        <w:tblCellMar>
          <w:top w:w="28" w:type="dxa"/>
          <w:left w:w="28" w:type="dxa"/>
          <w:bottom w:w="28" w:type="dxa"/>
          <w:right w:w="28" w:type="dxa"/>
        </w:tblCellMar>
      </w:tblPr>
      <w:tblGrid>
        <w:gridCol w:w="722"/>
        <w:gridCol w:w="633"/>
        <w:gridCol w:w="640"/>
        <w:gridCol w:w="134"/>
        <w:gridCol w:w="134"/>
        <w:gridCol w:w="136"/>
        <w:gridCol w:w="998"/>
        <w:gridCol w:w="998"/>
        <w:gridCol w:w="1439"/>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March 16,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Felix Lin</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Felix Lin</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of Chief Financial Officer</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 Paul McGarry, certify that:</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Annual Report on Form 10-K of HF Foods Group Inc.;</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4484" w:type="dxa"/>
        <w:jc w:val="left"/>
        <w:tblInd w:w="0" w:type="dxa"/>
        <w:tblLayout w:type="fixed"/>
        <w:tblCellMar>
          <w:top w:w="28" w:type="dxa"/>
          <w:left w:w="28" w:type="dxa"/>
          <w:bottom w:w="28" w:type="dxa"/>
          <w:right w:w="28" w:type="dxa"/>
        </w:tblCellMar>
      </w:tblPr>
      <w:tblGrid>
        <w:gridCol w:w="722"/>
        <w:gridCol w:w="633"/>
        <w:gridCol w:w="640"/>
        <w:gridCol w:w="134"/>
        <w:gridCol w:w="134"/>
        <w:gridCol w:w="136"/>
        <w:gridCol w:w="611"/>
        <w:gridCol w:w="611"/>
        <w:gridCol w:w="863"/>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March 16,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Paul McGarry</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Paul McGarry</w:t>
              <w:b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Section 1350 Certification of Chief Executive Officer</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the Annual Report on Form 10-K of HF Foods Group Inc. (the “Company”) for the annual period ended December 31, 2025 as filed with the Securities and Exchange Commission on the date hereof (the “Report”), I, Felix Lin, President and Chief Executive Officer of the Company, certify, to the best of my knowledge and belief, pursuant to 18 U.S.C. § 1350, as adopted pursuant to § 906 of the Sarbanes-Oxley Act of 2002, that:</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(15 U.S.C. 78m(a) or 78o(d)); and</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tbl>
      <w:tblPr>
        <w:tblW w:w="5834" w:type="dxa"/>
        <w:jc w:val="left"/>
        <w:tblInd w:w="0" w:type="dxa"/>
        <w:tblLayout w:type="fixed"/>
        <w:tblCellMar>
          <w:top w:w="28" w:type="dxa"/>
          <w:left w:w="28" w:type="dxa"/>
          <w:bottom w:w="28" w:type="dxa"/>
          <w:right w:w="28" w:type="dxa"/>
        </w:tblCellMar>
      </w:tblPr>
      <w:tblGrid>
        <w:gridCol w:w="722"/>
        <w:gridCol w:w="633"/>
        <w:gridCol w:w="640"/>
        <w:gridCol w:w="134"/>
        <w:gridCol w:w="134"/>
        <w:gridCol w:w="136"/>
        <w:gridCol w:w="998"/>
        <w:gridCol w:w="998"/>
        <w:gridCol w:w="1439"/>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March 16,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Felix Lin</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Felix Lin</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bidi w:val="0"/>
        <w:spacing w:before="10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Section 1350 Certification of Chief Financial Officer</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the Annual Report on Form 10-K of HF Foods Group Inc. (the “Company”) for the annual period ended December 31, 2025 as filed with the Securities and Exchange Commission on the date hereof (the “Report”), I, Paul McGarry, Chief Financial Officer, certify, to the best of my knowledge and belief, pursuant to 18 U.S.C. § 1350, as adopted pursuant to § 906 of the Sarbanes-Oxley Act of 2002, that:</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(15 U.S.C. 78m(a) or 78o(d)); and</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tbl>
      <w:tblPr>
        <w:tblW w:w="4484" w:type="dxa"/>
        <w:jc w:val="left"/>
        <w:tblInd w:w="0" w:type="dxa"/>
        <w:tblLayout w:type="fixed"/>
        <w:tblCellMar>
          <w:top w:w="28" w:type="dxa"/>
          <w:left w:w="28" w:type="dxa"/>
          <w:bottom w:w="28" w:type="dxa"/>
          <w:right w:w="28" w:type="dxa"/>
        </w:tblCellMar>
      </w:tblPr>
      <w:tblGrid>
        <w:gridCol w:w="722"/>
        <w:gridCol w:w="633"/>
        <w:gridCol w:w="640"/>
        <w:gridCol w:w="134"/>
        <w:gridCol w:w="134"/>
        <w:gridCol w:w="136"/>
        <w:gridCol w:w="611"/>
        <w:gridCol w:w="611"/>
        <w:gridCol w:w="863"/>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March 16,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Paul McGarry</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Paul McGarry</w:t>
              <w:b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0001680873/000143774919021487/ex_162902.htm" TargetMode="External"/><Relationship Id="rId5" Type="http://schemas.openxmlformats.org/officeDocument/2006/relationships/hyperlink" Target="https://www.sec.gov/Archives/edgar/data/1680873/000168087322000056/ex302-arbylawsxnovember2022.htm" TargetMode="External"/><Relationship Id="rId6" Type="http://schemas.openxmlformats.org/officeDocument/2006/relationships/hyperlink" Target="https://www.sec.gov/Archives/edgar/data/1680873/000119312523098200/d425223dex31.htm" TargetMode="External"/><Relationship Id="rId7" Type="http://schemas.openxmlformats.org/officeDocument/2006/relationships/hyperlink" Target="https://www.sec.gov/Archives/edgar/data/1680873/000168087323000016/exhibit31-bylawamendment.htm" TargetMode="External"/><Relationship Id="rId8" Type="http://schemas.openxmlformats.org/officeDocument/2006/relationships/hyperlink" Target="https://www.sec.gov/Archives/edgar/data/1680873/000161577417003872/s106920_ex4-2.htm" TargetMode="External"/><Relationship Id="rId9" Type="http://schemas.openxmlformats.org/officeDocument/2006/relationships/hyperlink" Target="https://www.sec.gov/Archives/edgar/data/1680873/000161577417003872/s106920_ex4-5.htm" TargetMode="External"/><Relationship Id="rId10" Type="http://schemas.openxmlformats.org/officeDocument/2006/relationships/hyperlink" Target="https://www.sec.gov/Archives/edgar/data/1680873/000161577417004291/s107155_ex4-1.htm" TargetMode="External"/><Relationship Id="rId11" Type="http://schemas.openxmlformats.org/officeDocument/2006/relationships/hyperlink" Target="https://www.sec.gov/Archives/edgar/data/1680873/000119312523098200/d425223dex41.htm" TargetMode="External"/><Relationship Id="rId12" Type="http://schemas.openxmlformats.org/officeDocument/2006/relationships/hyperlink" Target="https://www.sec.gov/Archives/edgar/data/1680873/000168087324000013/exhibit42-8axa.htm" TargetMode="External"/><Relationship Id="rId13" Type="http://schemas.openxmlformats.org/officeDocument/2006/relationships/hyperlink" Target="https://www.sec.gov/Archives/edgar/data/1680873/000162828024039206/exhibit45-sx3.htm" TargetMode="External"/><Relationship Id="rId14" Type="http://schemas.openxmlformats.org/officeDocument/2006/relationships/hyperlink" Target="https://www.sec.gov/Archives/edgar/data/1680873/000168087325000006/a202410k-ex47.htm" TargetMode="External"/><Relationship Id="rId15" Type="http://schemas.openxmlformats.org/officeDocument/2006/relationships/hyperlink" Target="https://www.sec.gov/Archives/edgar/data/1680873/000161577418008665/s112256_ex10-9.htm" TargetMode="External"/><Relationship Id="rId16" Type="http://schemas.openxmlformats.org/officeDocument/2006/relationships/hyperlink" Target="https://www.sec.gov/Archives/edgar/data/0001680873/000143774919006198/ex_139351.htm" TargetMode="External"/><Relationship Id="rId17" Type="http://schemas.openxmlformats.org/officeDocument/2006/relationships/hyperlink" Target="https://www.sec.gov/Archives/edgar/data/0001680873/000143774919006198/ex_139352.htm" TargetMode="External"/><Relationship Id="rId18" Type="http://schemas.openxmlformats.org/officeDocument/2006/relationships/hyperlink" Target="https://www.sec.gov/Archives/edgar/data/0001680873/000143774919006198/ex_139353.htm" TargetMode="External"/><Relationship Id="rId19" Type="http://schemas.openxmlformats.org/officeDocument/2006/relationships/hyperlink" Target="https://www.sec.gov/Archives/edgar/data/0001680873/000143774919006198/ex_139354.htm" TargetMode="External"/><Relationship Id="rId20" Type="http://schemas.openxmlformats.org/officeDocument/2006/relationships/hyperlink" Target="https://www.sec.gov/Archives/edgar/data/0001680873/000143774919006198/ex_139356.htm" TargetMode="External"/><Relationship Id="rId21" Type="http://schemas.openxmlformats.org/officeDocument/2006/relationships/hyperlink" Target="https://www.sec.gov/Archives/edgar/data/0001680873/000143774919006198/ex_139357.htm" TargetMode="External"/><Relationship Id="rId22" Type="http://schemas.openxmlformats.org/officeDocument/2006/relationships/hyperlink" Target="https://www.sec.gov/Archives/edgar/data/1680873/000143774920000824/ex_169834.htm" TargetMode="External"/><Relationship Id="rId23" Type="http://schemas.openxmlformats.org/officeDocument/2006/relationships/hyperlink" Target="https://www.sec.gov/Archives/edgar/data/1680873/000168087321000006/a1025assignmentandassump.htm" TargetMode="External"/><Relationship Id="rId24" Type="http://schemas.openxmlformats.org/officeDocument/2006/relationships/hyperlink" Target="https://www.sec.gov/Archives/edgar/data/1680873/000168087321000006/a1026leasedatedjuly22181.htm" TargetMode="External"/><Relationship Id="rId25" Type="http://schemas.openxmlformats.org/officeDocument/2006/relationships/hyperlink" Target="https://www.sec.gov/Archives/edgar/data/1680873/000168087321000006/a1027amendmenttoleasedat.htm" TargetMode="External"/><Relationship Id="rId26" Type="http://schemas.openxmlformats.org/officeDocument/2006/relationships/hyperlink" Target="https://www.sec.gov/Archives/edgar/data/1680873/000168087323000001/ex101-amendedseveranceplan.htm" TargetMode="External"/><Relationship Id="rId27" Type="http://schemas.openxmlformats.org/officeDocument/2006/relationships/hyperlink" Target="https://www.sec.gov/Archives/edgar/data/0001680873/000168087321000027/exhibit102-employmentagr.htm" TargetMode="External"/><Relationship Id="rId28" Type="http://schemas.openxmlformats.org/officeDocument/2006/relationships/hyperlink" Target="https://www.sec.gov/Archives/edgar/data/0001680873/000168087321000035/exhibit101brgroupmid-ter.htm" TargetMode="External"/><Relationship Id="rId29" Type="http://schemas.openxmlformats.org/officeDocument/2006/relationships/hyperlink" Target="https://www.sec.gov/Archives/edgar/data/0001680873/000168087322000002/exhibit101consentwaiverj.htm" TargetMode="External"/><Relationship Id="rId30" Type="http://schemas.openxmlformats.org/officeDocument/2006/relationships/hyperlink" Target="https://www.sec.gov/Archives/edgar/data/0001680873/000168087321000020/exhibit47formofrestricte.htm" TargetMode="External"/><Relationship Id="rId31" Type="http://schemas.openxmlformats.org/officeDocument/2006/relationships/hyperlink" Target="https://www.sec.gov/Archives/edgar/data/0001680873/000168087322000015/exh101-xthirdamendedandr.htm" TargetMode="External"/><Relationship Id="rId32" Type="http://schemas.openxmlformats.org/officeDocument/2006/relationships/hyperlink" Target="https://www.sec.gov/Archives/edgar/data/1680873/000168087322000053/ex101-consentunderthirda.htm" TargetMode="External"/><Relationship Id="rId33" Type="http://schemas.openxmlformats.org/officeDocument/2006/relationships/hyperlink" Target="https://www.sec.gov/Archives/edgar/data/1680873/000168087324000001/exhibit101amendmentno1toth.htm" TargetMode="External"/><Relationship Id="rId34" Type="http://schemas.openxmlformats.org/officeDocument/2006/relationships/hyperlink" Target="https://www.sec.gov/Archives/edgar/data/1680873/000168087322000021/ex101-felixlinofferlettera.htm" TargetMode="External"/><Relationship Id="rId35" Type="http://schemas.openxmlformats.org/officeDocument/2006/relationships/hyperlink" Target="https://www.sec.gov/Archives/edgar/data/1680873/000168087324000022/a20240419offerlettercfo_ci.htm" TargetMode="External"/><Relationship Id="rId36" Type="http://schemas.openxmlformats.org/officeDocument/2006/relationships/hyperlink" Target="https://www.sec.gov/Archives/edgar/data/1680873/000168087324000024/a101-leasedatedjuly22018.htm" TargetMode="External"/><Relationship Id="rId37" Type="http://schemas.openxmlformats.org/officeDocument/2006/relationships/hyperlink" Target="https://www.sec.gov/Archives/edgar/data/1680873/000168087324000024/a102-amendmenttolease275fi.htm" TargetMode="External"/><Relationship Id="rId38" Type="http://schemas.openxmlformats.org/officeDocument/2006/relationships/hyperlink" Target="https://www.sec.gov/Archives/edgar/data/1680873/000168087324000024/a103consentandassignmentof.htm" TargetMode="External"/><Relationship Id="rId39" Type="http://schemas.openxmlformats.org/officeDocument/2006/relationships/hyperlink" Target="https://www.sec.gov/Archives/edgar/data/1680873/000168087324000034/a42-restrictedunits.htm" TargetMode="External"/><Relationship Id="rId40" Type="http://schemas.openxmlformats.org/officeDocument/2006/relationships/hyperlink" Target="https://www.sec.gov/Archives/edgar/data/1680873/000168087324000034/a43-performanceunits.htm" TargetMode="External"/><Relationship Id="rId41" Type="http://schemas.openxmlformats.org/officeDocument/2006/relationships/hyperlink" Target="https://www.sec.gov/Archives/edgar/data/1680873/000168087324000034/a44-firstamendmentto2018pl.htm" TargetMode="External"/><Relationship Id="rId42" Type="http://schemas.openxmlformats.org/officeDocument/2006/relationships/hyperlink" Target="https://www.sec.gov/Archives/edgar/data/1680873/000168087324000044/exhibit101-boardletters.htm" TargetMode="External"/><Relationship Id="rId43" Type="http://schemas.openxmlformats.org/officeDocument/2006/relationships/hyperlink" Target="https://www.sec.gov/Archives/edgar/data/1680873/000168087324000065/amendmentno2tothirdamended.htm" TargetMode="External"/><Relationship Id="rId44" Type="http://schemas.openxmlformats.org/officeDocument/2006/relationships/hyperlink" Target="https://www.sec.gov/Archives/edgar/data/1680873/000168087325000006/a2024-ex1040xhffoodsxamend.htm" TargetMode="External"/><Relationship Id="rId45" Type="http://schemas.openxmlformats.org/officeDocument/2006/relationships/hyperlink" Target="https://www.sec.gov/Archives/edgar/data/1680873/000168087324000065/leaseagreementbetweenchrea.htm" TargetMode="External"/><Relationship Id="rId46" Type="http://schemas.openxmlformats.org/officeDocument/2006/relationships/hyperlink" Target="https://www.sec.gov/Archives/edgar/data/1680873/000168087324000069/exhibit101-employmentagree.htm" TargetMode="External"/><Relationship Id="rId47" Type="http://schemas.openxmlformats.org/officeDocument/2006/relationships/hyperlink" Target="https://www.sec.gov/Archives/edgar/data/1680873/000162828025005956/ex101-4thamendmenttojpmcre.htm" TargetMode="External"/><Relationship Id="rId48" Type="http://schemas.openxmlformats.org/officeDocument/2006/relationships/hyperlink" Target="https://www.sec.gov/Archives/edgar/data/1680873/000168087325000060/exhibit101-salesagreementx.htm" TargetMode="External"/><Relationship Id="rId49" Type="http://schemas.openxmlformats.org/officeDocument/2006/relationships/hyperlink" Target="https://www.sec.gov/Archives/edgar/data/1680873/000168087325000065/exhibit101-offerletter.htm" TargetMode="External"/><Relationship Id="rId50" Type="http://schemas.openxmlformats.org/officeDocument/2006/relationships/hyperlink" Target="https://www.sec.gov/Archives/edgar/data/1680873/000168087325000065/exhibit102-amendment.htm" TargetMode="External"/><Relationship Id="rId51" Type="http://schemas.openxmlformats.org/officeDocument/2006/relationships/hyperlink" Target="https://www.sec.gov/Archives/edgar/data/1680873/000168087325000067/exhibit101-yaoseparationag.htm" TargetMode="External"/><Relationship Id="rId52" Type="http://schemas.openxmlformats.org/officeDocument/2006/relationships/hyperlink" Target="https://www.sec.gov/Archives/edgar/data/1680873/000168087326000006/a101paulmcgarryletteragree.htm" TargetMode="External"/><Relationship Id="rId53" Type="http://schemas.openxmlformats.org/officeDocument/2006/relationships/hyperlink" Target="https://www.sec.gov/Archives/edgar/data/1680873/000168087326000006/a101paulmcgarryletteragree.htm" TargetMode="External"/><Relationship Id="rId54" Type="http://schemas.openxmlformats.org/officeDocument/2006/relationships/hyperlink" Target="https://www.sec.gov/Archives/edgar/data/1680873/000168087326000006/a102-amendedandrestatedsev.htm" TargetMode="External"/><Relationship Id="rId55" Type="http://schemas.openxmlformats.org/officeDocument/2006/relationships/hyperlink" Target="https://www.sec.gov/Archives/edgar/data/1680873/000168087326000006/a102-amendedandrestatedsev.htm" TargetMode="External"/><Relationship Id="rId56" Type="http://schemas.openxmlformats.org/officeDocument/2006/relationships/hyperlink" Target="https://www.sec.gov/Archives/edgar/data/1680873/000168087326000006/a1032026templateletteragre.htm" TargetMode="External"/><Relationship Id="rId57" Type="http://schemas.openxmlformats.org/officeDocument/2006/relationships/hyperlink" Target="https://www.sec.gov/Archives/edgar/data/1680873/000168087326000006/a1032026templateletteragre.htm" TargetMode="External"/><Relationship Id="rId58" Type="http://schemas.openxmlformats.org/officeDocument/2006/relationships/hyperlink" Target="https://www.sec.gov/Archives/edgar/data/1680873/000168087326000006/a1032026templateletteragre.htm" TargetMode="External"/><Relationship Id="rId59" Type="http://schemas.openxmlformats.org/officeDocument/2006/relationships/hyperlink" Target="https://www.sec.gov/Archives/edgar/data/1680873/000168087325000006/a202410k-ex191.htm" TargetMode="External"/><Relationship Id="rId60" Type="http://schemas.openxmlformats.org/officeDocument/2006/relationships/hyperlink" Target="https://www.sec.gov/Archives/edgar/data/1680873/000168087324000010/a202310k-ex971.htm" TargetMode="External"/><Relationship Id="rId61" Type="http://schemas.openxmlformats.org/officeDocument/2006/relationships/fontTable" Target="fontTable.xml"/><Relationship Id="rId6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43633</Words>
  <Characters>245904</Characters>
  <CharactersWithSpaces>287024</CharactersWithSpaces>
  <Paragraphs>3561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