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ind w:left="36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jc w:val="center"/>
        <w:ind w:left="3820" w:right="940" w:hanging="2895"/>
        <w:spacing w:after="0" w:line="437"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73" w:lineRule="exact"/>
        <w:rPr>
          <w:rFonts w:ascii="MS PGothic" w:cs="MS PGothic" w:eastAsia="MS PGothic" w:hAnsi="MS PGothic"/>
          <w:sz w:val="17"/>
          <w:szCs w:val="17"/>
          <w:color w:val="auto"/>
        </w:rPr>
      </w:pPr>
    </w:p>
    <w:p>
      <w:pPr>
        <w:ind w:left="3160"/>
        <w:spacing w:after="0"/>
        <w:rPr>
          <w:rFonts w:ascii="MS PGothic" w:cs="MS PGothic" w:eastAsia="MS PGothic" w:hAnsi="MS PGothic"/>
          <w:sz w:val="17"/>
          <w:szCs w:val="17"/>
          <w:color w:val="auto"/>
        </w:rPr>
      </w:pPr>
      <w:r>
        <w:rPr>
          <w:rFonts w:ascii="Arial" w:cs="Arial" w:eastAsia="Arial" w:hAnsi="Arial"/>
          <w:sz w:val="18"/>
          <w:szCs w:val="18"/>
          <w:color w:val="auto"/>
        </w:rPr>
        <w:t xml:space="preserve">For the transition period from </w:t>
      </w:r>
      <w:r>
        <w:rPr>
          <w:rFonts w:ascii="Arial" w:cs="Arial" w:eastAsia="Arial" w:hAnsi="Arial"/>
          <w:sz w:val="10"/>
          <w:szCs w:val="10"/>
          <w:color w:val="auto"/>
        </w:rPr>
        <w:t>_______________________</w:t>
      </w:r>
      <w:r>
        <w:rPr>
          <w:rFonts w:ascii="Arial" w:cs="Arial" w:eastAsia="Arial" w:hAnsi="Arial"/>
          <w:sz w:val="18"/>
          <w:szCs w:val="18"/>
          <w:color w:val="auto"/>
        </w:rPr>
        <w:t xml:space="preserve"> to </w:t>
      </w:r>
      <w:r>
        <w:rPr>
          <w:rFonts w:ascii="Arial" w:cs="Arial" w:eastAsia="Arial" w:hAnsi="Arial"/>
          <w:sz w:val="10"/>
          <w:szCs w:val="10"/>
          <w:color w:val="auto"/>
        </w:rPr>
        <w:t>_______________________</w:t>
      </w:r>
      <w:r>
        <w:rPr>
          <w:rFonts w:ascii="Arial" w:cs="Arial" w:eastAsia="Arial" w:hAnsi="Arial"/>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001-38180</w:t>
      </w:r>
    </w:p>
    <w:p>
      <w:pPr>
        <w:spacing w:after="0" w:line="149" w:lineRule="exact"/>
        <w:rPr>
          <w:sz w:val="24"/>
          <w:szCs w:val="24"/>
          <w:color w:val="auto"/>
        </w:rPr>
      </w:pPr>
    </w:p>
    <w:p>
      <w:pPr>
        <w:ind w:left="36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HF FOODS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999" w:right="359" w:bottom="1440" w:gutter="0" w:footer="0" w:header="0"/>
        </w:sectPr>
      </w:pPr>
    </w:p>
    <w:p>
      <w:pPr>
        <w:spacing w:after="0" w:line="11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81-2717873</w:t>
      </w: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147" w:lineRule="exact"/>
        <w:rPr>
          <w:sz w:val="24"/>
          <w:szCs w:val="24"/>
          <w:color w:val="auto"/>
        </w:rPr>
      </w:pPr>
    </w:p>
    <w:p>
      <w:pPr>
        <w:sectPr>
          <w:pgSz w:w="11900" w:h="16838" w:orient="portrait"/>
          <w:cols w:equalWidth="0" w:num="2">
            <w:col w:w="6380" w:space="720"/>
            <w:col w:w="4120"/>
          </w:cols>
          <w:pgMar w:left="320" w:top="999" w:right="35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(888) 905-0988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9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2060"/>
        <w:spacing w:after="0" w:line="3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January 27, 2023, the registrant had 53,706,392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HF FOODS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MARCH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0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w w:val="88"/>
              </w:rPr>
              <w:t>Description</w:t>
            </w:r>
          </w:p>
        </w:tc>
        <w:tc>
          <w:tcPr>
            <w:tcW w:w="990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88"/>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Condensed Consolidated Balance Sheets (Unaudited)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Arial" w:cs="Arial" w:eastAsia="Arial" w:hAnsi="Arial"/>
                <w:sz w:val="18"/>
                <w:szCs w:val="18"/>
                <w:color w:val="auto"/>
              </w:rPr>
              <w:t>Condensed Consolidated Statements of Income and Comprehensive Income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Arial" w:cs="Arial" w:eastAsia="Arial" w:hAnsi="Arial"/>
                <w:sz w:val="18"/>
                <w:szCs w:val="18"/>
                <w:color w:val="auto"/>
              </w:rPr>
              <w:t>Condensed Consolidated Statements of Changes in Shareholders’ Equity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Notes to Unaudited Condensed Consolidated Financial Statements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26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0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Mine Safety Disclosures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90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SIGNATURE PAGE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tabs>
          <w:tab w:leader="none" w:pos="2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HF FOODS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(In thousands, except share data)</w:t>
            </w: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196"/>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14,792</w:t>
            </w: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36,281</w:t>
            </w: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 related parties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102,690</w:t>
            </w:r>
          </w:p>
        </w:tc>
      </w:tr>
      <w:tr>
        <w:trPr>
          <w:trHeight w:val="216"/>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183,811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159,571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147,244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145,908</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760" w:type="dxa"/>
            <w:vAlign w:val="bottom"/>
          </w:tcPr>
          <w:p>
            <w:pPr>
              <w:jc w:val="right"/>
              <w:spacing w:after="0"/>
              <w:rPr>
                <w:sz w:val="20"/>
                <w:szCs w:val="20"/>
                <w:color w:val="auto"/>
              </w:rPr>
            </w:pPr>
            <w:r>
              <w:rPr>
                <w:rFonts w:ascii="Arial" w:cs="Arial" w:eastAsia="Arial" w:hAnsi="Arial"/>
                <w:sz w:val="16"/>
                <w:szCs w:val="16"/>
                <w:color w:val="auto"/>
              </w:rPr>
              <w:t>12,410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11,664</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1760" w:type="dxa"/>
            <w:vAlign w:val="bottom"/>
          </w:tcPr>
          <w:p>
            <w:pPr>
              <w:jc w:val="right"/>
              <w:spacing w:after="0"/>
              <w:rPr>
                <w:sz w:val="20"/>
                <w:szCs w:val="20"/>
                <w:color w:val="auto"/>
              </w:rPr>
            </w:pPr>
            <w:r>
              <w:rPr>
                <w:rFonts w:ascii="Arial" w:cs="Arial" w:eastAsia="Arial" w:hAnsi="Arial"/>
                <w:sz w:val="16"/>
                <w:szCs w:val="16"/>
                <w:color w:val="auto"/>
              </w:rPr>
              <w:t>156,741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159,161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other intangibles, net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35,891</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760" w:type="dxa"/>
            <w:vAlign w:val="bottom"/>
          </w:tcPr>
          <w:p>
            <w:pPr>
              <w:jc w:val="right"/>
              <w:spacing w:after="0"/>
              <w:rPr>
                <w:sz w:val="20"/>
                <w:szCs w:val="20"/>
                <w:color w:val="auto"/>
              </w:rPr>
            </w:pPr>
            <w:r>
              <w:rPr>
                <w:rFonts w:ascii="Arial" w:cs="Arial" w:eastAsia="Arial" w:hAnsi="Arial"/>
                <w:sz w:val="16"/>
                <w:szCs w:val="16"/>
                <w:color w:val="auto"/>
              </w:rPr>
              <w:t>80,257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80,257</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620,066</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596,946</w:t>
            </w:r>
          </w:p>
        </w:tc>
      </w:tr>
      <w:tr>
        <w:trPr>
          <w:trHeight w:val="19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Checks issued not presented for payment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17,834</w:t>
            </w: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Line of credit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68,449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55,293</w:t>
            </w: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57,745</w:t>
            </w: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Accounts payable - related parties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1,941</w:t>
            </w: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long-term debt, net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w:t>
            </w: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Current portion of obligations under finance leases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obligations under operating leases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r>
      <w:tr>
        <w:trPr>
          <w:trHeight w:val="210"/>
        </w:trPr>
        <w:tc>
          <w:tcPr>
            <w:tcW w:w="7620" w:type="dxa"/>
            <w:vAlign w:val="bottom"/>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15,358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171,851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155,264</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1760" w:type="dxa"/>
            <w:vAlign w:val="bottom"/>
          </w:tcPr>
          <w:p>
            <w:pPr>
              <w:jc w:val="right"/>
              <w:spacing w:after="0"/>
              <w:rPr>
                <w:sz w:val="20"/>
                <w:szCs w:val="20"/>
                <w:color w:val="auto"/>
              </w:rPr>
            </w:pPr>
            <w:r>
              <w:rPr>
                <w:rFonts w:ascii="Arial" w:cs="Arial" w:eastAsia="Arial" w:hAnsi="Arial"/>
                <w:sz w:val="16"/>
                <w:szCs w:val="16"/>
                <w:color w:val="auto"/>
              </w:rPr>
              <w:t>80,254</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81,811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Promissory note payable - related party</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Obligations under finance leases, non-current</w:t>
            </w:r>
          </w:p>
        </w:tc>
        <w:tc>
          <w:tcPr>
            <w:tcW w:w="1760" w:type="dxa"/>
            <w:vAlign w:val="bottom"/>
          </w:tcPr>
          <w:p>
            <w:pPr>
              <w:jc w:val="right"/>
              <w:spacing w:after="0"/>
              <w:rPr>
                <w:sz w:val="20"/>
                <w:szCs w:val="20"/>
                <w:color w:val="auto"/>
              </w:rPr>
            </w:pPr>
            <w:r>
              <w:rPr>
                <w:rFonts w:ascii="Arial" w:cs="Arial" w:eastAsia="Arial" w:hAnsi="Arial"/>
                <w:sz w:val="16"/>
                <w:szCs w:val="16"/>
                <w:color w:val="auto"/>
              </w:rPr>
              <w:t>11,795</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11,676</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operating leases, non-current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760" w:type="dxa"/>
            <w:vAlign w:val="bottom"/>
          </w:tcPr>
          <w:p>
            <w:pPr>
              <w:jc w:val="right"/>
              <w:spacing w:after="0"/>
              <w:rPr>
                <w:sz w:val="20"/>
                <w:szCs w:val="20"/>
                <w:color w:val="auto"/>
              </w:rPr>
            </w:pPr>
            <w:r>
              <w:rPr>
                <w:rFonts w:ascii="Arial" w:cs="Arial" w:eastAsia="Arial" w:hAnsi="Arial"/>
                <w:sz w:val="16"/>
                <w:szCs w:val="16"/>
                <w:color w:val="auto"/>
              </w:rPr>
              <w:t>37,300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39,455</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guarantee liability, net of current portion</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60" w:type="dxa"/>
            <w:vAlign w:val="bottom"/>
          </w:tcPr>
          <w:p>
            <w:pPr>
              <w:jc w:val="right"/>
              <w:ind w:right="579"/>
              <w:spacing w:after="0"/>
              <w:rPr>
                <w:sz w:val="20"/>
                <w:szCs w:val="20"/>
                <w:color w:val="auto"/>
              </w:rPr>
            </w:pPr>
            <w:r>
              <w:rPr>
                <w:rFonts w:ascii="Arial" w:cs="Arial" w:eastAsia="Arial" w:hAnsi="Arial"/>
                <w:sz w:val="16"/>
                <w:szCs w:val="16"/>
                <w:b w:val="1"/>
                <w:bCs w:val="1"/>
                <w:color w:val="auto"/>
              </w:rPr>
              <w:t>320,930</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301,957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10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Preferred stock, $0.0001 par value, 1,000,000 shares authorized, no shares issued and outstanding as of</w:t>
            </w:r>
          </w:p>
        </w:tc>
        <w:tc>
          <w:tcPr>
            <w:tcW w:w="18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March 31, 2022 and December 31, 2021</w:t>
            </w:r>
          </w:p>
        </w:tc>
        <w:tc>
          <w:tcPr>
            <w:tcW w:w="18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240"/>
              <w:spacing w:after="0" w:line="166" w:lineRule="exact"/>
              <w:rPr>
                <w:sz w:val="20"/>
                <w:szCs w:val="20"/>
                <w:color w:val="auto"/>
              </w:rPr>
            </w:pPr>
            <w:r>
              <w:rPr>
                <w:rFonts w:ascii="Arial" w:cs="Arial" w:eastAsia="Arial" w:hAnsi="Arial"/>
                <w:sz w:val="16"/>
                <w:szCs w:val="16"/>
                <w:color w:val="auto"/>
                <w:w w:val="97"/>
              </w:rPr>
              <w:t>Common stock, $0.0001 par value, 100,000,000 shares authorized, 53,706,392 shares issued and outstanding as</w:t>
            </w:r>
          </w:p>
        </w:tc>
        <w:tc>
          <w:tcPr>
            <w:tcW w:w="1860" w:type="dxa"/>
            <w:vAlign w:val="bottom"/>
            <w:vMerge w:val="restart"/>
          </w:tcPr>
          <w:p>
            <w:pPr>
              <w:jc w:val="right"/>
              <w:ind w:right="579"/>
              <w:spacing w:after="0"/>
              <w:rPr>
                <w:sz w:val="20"/>
                <w:szCs w:val="20"/>
                <w:color w:val="auto"/>
              </w:rPr>
            </w:pPr>
            <w:r>
              <w:rPr>
                <w:rFonts w:ascii="Arial" w:cs="Arial" w:eastAsia="Arial" w:hAnsi="Arial"/>
                <w:sz w:val="16"/>
                <w:szCs w:val="16"/>
                <w:color w:val="auto"/>
              </w:rPr>
              <w:t>5</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100" w:type="dxa"/>
            <w:vAlign w:val="bottom"/>
          </w:tcPr>
          <w:p>
            <w:pPr>
              <w:ind w:left="240"/>
              <w:spacing w:after="0"/>
              <w:rPr>
                <w:sz w:val="20"/>
                <w:szCs w:val="20"/>
                <w:color w:val="auto"/>
              </w:rPr>
            </w:pPr>
            <w:r>
              <w:rPr>
                <w:rFonts w:ascii="Arial" w:cs="Arial" w:eastAsia="Arial" w:hAnsi="Arial"/>
                <w:sz w:val="16"/>
                <w:szCs w:val="16"/>
                <w:color w:val="auto"/>
              </w:rPr>
              <w:t>of March 31, 2022 and December 31, 2021</w:t>
            </w:r>
          </w:p>
        </w:tc>
        <w:tc>
          <w:tcPr>
            <w:tcW w:w="18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597,517</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597,227</w:t>
            </w:r>
          </w:p>
        </w:tc>
        <w:tc>
          <w:tcPr>
            <w:tcW w:w="0" w:type="dxa"/>
            <w:vAlign w:val="bottom"/>
          </w:tcPr>
          <w:p>
            <w:pPr>
              <w:spacing w:after="0"/>
              <w:rPr>
                <w:sz w:val="1"/>
                <w:szCs w:val="1"/>
                <w:color w:val="auto"/>
              </w:rPr>
            </w:pPr>
          </w:p>
        </w:tc>
      </w:tr>
      <w:tr>
        <w:trPr>
          <w:trHeight w:val="210"/>
        </w:trPr>
        <w:tc>
          <w:tcPr>
            <w:tcW w:w="810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1860" w:type="dxa"/>
            <w:vAlign w:val="bottom"/>
          </w:tcPr>
          <w:p>
            <w:pPr>
              <w:jc w:val="right"/>
              <w:ind w:right="519"/>
              <w:spacing w:after="0"/>
              <w:rPr>
                <w:sz w:val="20"/>
                <w:szCs w:val="20"/>
                <w:color w:val="auto"/>
              </w:rPr>
            </w:pPr>
            <w:r>
              <w:rPr>
                <w:rFonts w:ascii="Arial" w:cs="Arial" w:eastAsia="Arial" w:hAnsi="Arial"/>
                <w:sz w:val="16"/>
                <w:szCs w:val="16"/>
                <w:color w:val="auto"/>
              </w:rPr>
              <w:t>(303,170)</w:t>
            </w:r>
          </w:p>
        </w:tc>
        <w:tc>
          <w:tcPr>
            <w:tcW w:w="1280" w:type="dxa"/>
            <w:vAlign w:val="bottom"/>
          </w:tcPr>
          <w:p>
            <w:pPr>
              <w:jc w:val="right"/>
              <w:spacing w:after="0"/>
              <w:rPr>
                <w:sz w:val="20"/>
                <w:szCs w:val="20"/>
                <w:color w:val="auto"/>
              </w:rPr>
            </w:pPr>
            <w:r>
              <w:rPr>
                <w:rFonts w:ascii="Arial" w:cs="Arial" w:eastAsia="Arial" w:hAnsi="Arial"/>
                <w:sz w:val="16"/>
                <w:szCs w:val="16"/>
                <w:color w:val="auto"/>
              </w:rPr>
              <w:t>(306,284)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SHAREHOLDERS' EQUITY ATTRIBUTABLE TO HF FOODS GROUP INC.</w:t>
            </w:r>
          </w:p>
        </w:tc>
        <w:tc>
          <w:tcPr>
            <w:tcW w:w="6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294,352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290,948</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299,136</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294,989</w:t>
            </w:r>
          </w:p>
        </w:tc>
      </w:tr>
      <w:tr>
        <w:trPr>
          <w:trHeight w:val="212"/>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620,066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596,946</w:t>
            </w:r>
          </w:p>
        </w:tc>
      </w:tr>
      <w:tr>
        <w:trPr>
          <w:trHeight w:val="21"/>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107" w:right="3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HF FOODS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data)</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 third parties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156,990</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revenue - related parties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NET REVENUE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278,215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159,380</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third parties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127,639</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 related parties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COST OF REVENUE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227,488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129,952</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29,428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28,089</w:t>
            </w: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INCOME FROM OPERATIONS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10,319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1,339</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color w:val="auto"/>
              </w:rPr>
              <w:t>Change in fair value of interest rate swap contracts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guarantee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Other expense (income), net</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40"/>
              <w:spacing w:after="0"/>
              <w:rPr>
                <w:sz w:val="20"/>
                <w:szCs w:val="20"/>
                <w:color w:val="auto"/>
              </w:rPr>
            </w:pPr>
            <w:r>
              <w:rPr>
                <w:rFonts w:ascii="Arial" w:cs="Arial" w:eastAsia="Arial" w:hAnsi="Arial"/>
                <w:sz w:val="16"/>
                <w:szCs w:val="16"/>
                <w:b w:val="1"/>
                <w:bCs w:val="1"/>
                <w:color w:val="auto"/>
              </w:rPr>
              <w:t>INCOME BEFORE INCOME TAX PROVISION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2,304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INCOME AND COMPREHENSIVE INCOME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1,658</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45"/>
        </w:trPr>
        <w:tc>
          <w:tcPr>
            <w:tcW w:w="7620" w:type="dxa"/>
            <w:vAlign w:val="bottom"/>
            <w:shd w:val="clear" w:color="auto" w:fill="CCEEFF"/>
          </w:tcPr>
          <w:p>
            <w:pPr>
              <w:ind w:left="240"/>
              <w:spacing w:after="0" w:line="145" w:lineRule="exact"/>
              <w:rPr>
                <w:sz w:val="20"/>
                <w:szCs w:val="20"/>
                <w:color w:val="auto"/>
              </w:rPr>
            </w:pPr>
            <w:r>
              <w:rPr>
                <w:rFonts w:ascii="Arial" w:cs="Arial" w:eastAsia="Arial" w:hAnsi="Arial"/>
                <w:sz w:val="16"/>
                <w:szCs w:val="16"/>
                <w:b w:val="1"/>
                <w:bCs w:val="1"/>
                <w:color w:val="auto"/>
              </w:rPr>
              <w:t>NET INCOME AND COMPREHENSIVE INCOME</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3,114</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1,358</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ATTRIBUTABLE TO HF FOODS GROUP INC.</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 - 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 - DILUTED</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 BASIC</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53,706,392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51,913,411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 DILUTED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53,884,510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51,913,411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HF FOODS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1,658</w:t>
            </w:r>
          </w:p>
        </w:tc>
        <w:tc>
          <w:tcPr>
            <w:tcW w:w="0" w:type="dxa"/>
            <w:vAlign w:val="bottom"/>
          </w:tcPr>
          <w:p>
            <w:pPr>
              <w:spacing w:after="0"/>
              <w:rPr>
                <w:sz w:val="1"/>
                <w:szCs w:val="1"/>
                <w:color w:val="auto"/>
              </w:rPr>
            </w:pPr>
          </w:p>
        </w:tc>
      </w:tr>
      <w:tr>
        <w:trPr>
          <w:trHeight w:val="194"/>
        </w:trPr>
        <w:tc>
          <w:tcPr>
            <w:tcW w:w="7600" w:type="dxa"/>
            <w:vAlign w:val="bottom"/>
          </w:tcPr>
          <w:p>
            <w:pPr>
              <w:ind w:left="240"/>
              <w:spacing w:after="0"/>
              <w:rPr>
                <w:sz w:val="20"/>
                <w:szCs w:val="20"/>
                <w:color w:val="auto"/>
              </w:rPr>
            </w:pPr>
            <w:r>
              <w:rPr>
                <w:rFonts w:ascii="Arial" w:cs="Arial" w:eastAsia="Arial" w:hAnsi="Arial"/>
                <w:sz w:val="14"/>
                <w:szCs w:val="14"/>
                <w:b w:val="1"/>
                <w:bCs w:val="1"/>
                <w:color w:val="auto"/>
              </w:rPr>
              <w:t>Adjustments to reconcile net income to net cash provided by operating activities: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Gain from disposal of equipment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Provision for doubtful accounts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Deferred tax benefit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(2,154)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Income from equity method investment</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Change in fair value of interest rate swap contracts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Stock-based compensation</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Amortization of debt issuance and other debt-related costs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Non-cash lease expense</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Lease guarantee expense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5,931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operating expense</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600" w:type="dxa"/>
            <w:vAlign w:val="bottom"/>
          </w:tcPr>
          <w:p>
            <w:pPr>
              <w:ind w:left="240"/>
              <w:spacing w:after="0"/>
              <w:rPr>
                <w:sz w:val="20"/>
                <w:szCs w:val="20"/>
                <w:color w:val="auto"/>
              </w:rPr>
            </w:pPr>
            <w:r>
              <w:rPr>
                <w:rFonts w:ascii="Arial" w:cs="Arial" w:eastAsia="Arial" w:hAnsi="Arial"/>
                <w:sz w:val="14"/>
                <w:szCs w:val="14"/>
                <w:b w:val="1"/>
                <w:bCs w:val="1"/>
                <w:color w:val="auto"/>
              </w:rPr>
              <w:t>Changes in operating assets and liabilities (excluding effects of acquisitions):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Accounts receivable - related parties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Inventories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(12,070)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Advances to suppliers - related parties</w:t>
            </w:r>
          </w:p>
        </w:tc>
        <w:tc>
          <w:tcPr>
            <w:tcW w:w="42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current assets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Other long-term assets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8,654</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Accounts payable - related parties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3,299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680"/>
              <w:spacing w:after="0"/>
              <w:rPr>
                <w:sz w:val="20"/>
                <w:szCs w:val="20"/>
                <w:color w:val="auto"/>
              </w:rPr>
            </w:pPr>
            <w:r>
              <w:rPr>
                <w:rFonts w:ascii="Arial" w:cs="Arial" w:eastAsia="Arial" w:hAnsi="Arial"/>
                <w:sz w:val="14"/>
                <w:szCs w:val="14"/>
                <w:b w:val="1"/>
                <w:bCs w:val="1"/>
                <w:color w:val="auto"/>
              </w:rPr>
              <w:t>Net cash provided by operating activities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10,113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11,003</w:t>
            </w:r>
          </w:p>
        </w:tc>
        <w:tc>
          <w:tcPr>
            <w:tcW w:w="0" w:type="dxa"/>
            <w:vAlign w:val="bottom"/>
          </w:tcPr>
          <w:p>
            <w:pPr>
              <w:spacing w:after="0"/>
              <w:rPr>
                <w:sz w:val="1"/>
                <w:szCs w:val="1"/>
                <w:color w:val="auto"/>
              </w:rPr>
            </w:pPr>
          </w:p>
        </w:tc>
      </w:tr>
      <w:tr>
        <w:trPr>
          <w:trHeight w:val="174"/>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property and equipment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Proceeds from disposal of equipment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made for acquisition of Great Wall Group</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4"/>
                <w:szCs w:val="14"/>
                <w:b w:val="1"/>
                <w:bCs w:val="1"/>
                <w:color w:val="auto"/>
              </w:rPr>
              <w:t>Net cash used in investing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(19,932)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Checks issued not presented for payment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line of credit</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281,616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155,898</w:t>
            </w: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Repayment of line of credit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(268,298)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(157,829)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Repayment of long-term debt</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Payment of debt financing costs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Repayment of promissory note payable - related party</w:t>
            </w:r>
          </w:p>
        </w:tc>
        <w:tc>
          <w:tcPr>
            <w:tcW w:w="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Repayment of obligations under finance leases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noncontrolling interests shareholder</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600" w:type="dxa"/>
            <w:vAlign w:val="bottom"/>
          </w:tcPr>
          <w:p>
            <w:pPr>
              <w:ind w:left="240"/>
              <w:spacing w:after="0"/>
              <w:rPr>
                <w:sz w:val="20"/>
                <w:szCs w:val="20"/>
                <w:color w:val="auto"/>
              </w:rPr>
            </w:pPr>
            <w:r>
              <w:rPr>
                <w:rFonts w:ascii="Arial" w:cs="Arial" w:eastAsia="Arial" w:hAnsi="Arial"/>
                <w:sz w:val="14"/>
                <w:szCs w:val="14"/>
                <w:color w:val="auto"/>
              </w:rPr>
              <w:t>Cash distribution to shareholders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6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11,453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(8,889)</w:t>
            </w:r>
          </w:p>
        </w:tc>
        <w:tc>
          <w:tcPr>
            <w:tcW w:w="0" w:type="dxa"/>
            <w:vAlign w:val="bottom"/>
          </w:tcPr>
          <w:p>
            <w:pPr>
              <w:spacing w:after="0"/>
              <w:rPr>
                <w:sz w:val="1"/>
                <w:szCs w:val="1"/>
                <w:color w:val="auto"/>
              </w:rPr>
            </w:pPr>
          </w:p>
        </w:tc>
      </w:tr>
      <w:tr>
        <w:trPr>
          <w:trHeight w:val="188"/>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1,634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1,674</w:t>
            </w: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at beginning of the period</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14,792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9,581</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Cash at end of the period</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16,426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disclosure of cash flow data:</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operating, investing and financing activities: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Property acquired in exchange for finance leases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8,367</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from notes payable</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Intangible asset acquired in exchange for noncontrolling interests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HF FOODS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00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Total Shareholders’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1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5"/>
              </w:rPr>
              <w:t>Additional Paid-</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1"/>
                <w:szCs w:val="11"/>
                <w:color w:val="auto"/>
              </w:rPr>
            </w:pPr>
          </w:p>
        </w:tc>
        <w:tc>
          <w:tcPr>
            <w:tcW w:w="15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Equity Attributable</w:t>
            </w: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Noncontrolling</w:t>
            </w:r>
          </w:p>
        </w:tc>
        <w:tc>
          <w:tcPr>
            <w:tcW w:w="220" w:type="dxa"/>
            <w:vAlign w:val="bottom"/>
          </w:tcPr>
          <w:p>
            <w:pPr>
              <w:spacing w:after="0"/>
              <w:rPr>
                <w:sz w:val="11"/>
                <w:szCs w:val="11"/>
                <w:color w:val="auto"/>
              </w:rPr>
            </w:pPr>
          </w:p>
        </w:tc>
        <w:tc>
          <w:tcPr>
            <w:tcW w:w="9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data)</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to HF Foods Group</w:t>
            </w:r>
          </w:p>
        </w:tc>
        <w:tc>
          <w:tcPr>
            <w:tcW w:w="1200" w:type="dxa"/>
            <w:vAlign w:val="bottom"/>
            <w:gridSpan w:val="3"/>
            <w:vMerge w:val="continue"/>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13"/>
        </w:trPr>
        <w:tc>
          <w:tcPr>
            <w:tcW w:w="2480" w:type="dxa"/>
            <w:vAlign w:val="bottom"/>
            <w:vMerge w:val="continue"/>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in 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Inc.</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51,913,411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587,579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(328,429)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263,522</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51,913,411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587,579</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(327,071)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260,513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4,594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265,107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53,706,392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597,227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(306,284)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290,948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4,041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294,989</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166"/>
        </w:trPr>
        <w:tc>
          <w:tcPr>
            <w:tcW w:w="2480" w:type="dxa"/>
            <w:vAlign w:val="bottom"/>
          </w:tcPr>
          <w:p>
            <w:pPr>
              <w:ind w:left="240"/>
              <w:spacing w:after="0" w:line="166" w:lineRule="exact"/>
              <w:rPr>
                <w:sz w:val="20"/>
                <w:szCs w:val="20"/>
                <w:color w:val="auto"/>
              </w:rPr>
            </w:pPr>
            <w:r>
              <w:rPr>
                <w:rFonts w:ascii="Arial" w:cs="Arial" w:eastAsia="Arial" w:hAnsi="Arial"/>
                <w:sz w:val="16"/>
                <w:szCs w:val="16"/>
                <w:color w:val="auto"/>
              </w:rPr>
              <w:t>Capital contributions by</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9"/>
        </w:trPr>
        <w:tc>
          <w:tcPr>
            <w:tcW w:w="2480" w:type="dxa"/>
            <w:vAlign w:val="bottom"/>
          </w:tcPr>
          <w:p>
            <w:pPr>
              <w:ind w:left="240"/>
              <w:spacing w:after="0"/>
              <w:rPr>
                <w:sz w:val="20"/>
                <w:szCs w:val="20"/>
                <w:color w:val="auto"/>
              </w:rPr>
            </w:pPr>
            <w:r>
              <w:rPr>
                <w:rFonts w:ascii="Arial" w:cs="Arial" w:eastAsia="Arial" w:hAnsi="Arial"/>
                <w:sz w:val="16"/>
                <w:szCs w:val="16"/>
                <w:color w:val="auto"/>
              </w:rPr>
              <w:t>shareholders</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53,706,392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597,517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(303,170)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299,136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left="520"/>
        <w:spacing w:after="0"/>
        <w:rPr>
          <w:sz w:val="20"/>
          <w:szCs w:val="20"/>
          <w:color w:val="auto"/>
        </w:rPr>
      </w:pPr>
      <w:r>
        <w:rPr>
          <w:rFonts w:ascii="Arial" w:cs="Arial" w:eastAsia="Arial" w:hAnsi="Arial"/>
          <w:sz w:val="18"/>
          <w:szCs w:val="18"/>
          <w:b w:val="1"/>
          <w:bCs w:val="1"/>
          <w:color w:val="auto"/>
        </w:rPr>
        <w:t>HF FOODS GROUP INC. AND SUBSIDIARIES</w:t>
      </w:r>
    </w:p>
    <w:p>
      <w:pPr>
        <w:spacing w:after="0" w:line="2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30, 2021, the Company completed the acquisition of Great Wall Seafood Supply, Inc., Great Wall Restaurant Supplier, Inc., and First Mart Inc. (collectively the “Great Wall Group”), and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 The total acquisition price for all operating assets and inventory was approximately $68.2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7 - Acquisitions</w:t>
      </w:r>
      <w:r>
        <w:rPr>
          <w:rFonts w:ascii="Arial" w:cs="Arial" w:eastAsia="Arial" w:hAnsi="Arial"/>
          <w:sz w:val="18"/>
          <w:szCs w:val="18"/>
          <w:color w:val="auto"/>
        </w:rPr>
        <w:t xml:space="preserve"> for additional information on recent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Investigation Update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an analyst report suggested certain improprieties in the Company’s operations. These allegations became the subject of two putative stockholder class action lawsuits which have subsequently been dismissed. In response to the allegations in the analyst report, the Company's Board of Directors appointed a Special Investigation Committee of Independent Directors (the “Special Investigation Committee”) to conduct an independent investigation with the assistance of independent legal counsel. As a result of the investigation, the SIC determined certain factual findings. Management evaluated the factual findings, as presented by the SIC, and analyzed them to determine which had impact on the historical financial statements, including disclosures, of the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independent investigation, the Securities and Exchange Commission (“SEC”) initiated a formal, non-public investigation of the Company, and the SEC informally requested, and later issued a subpoena for, documents and other information. The subpoena relates to but is not necessarily limited to the matters identified in the class action lawsuits. The Special Investigation Committee and the Company are cooperating with the SEC. The SEC investigation is still ongoing.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with any SEC investigation, there is also the possibility of potential fines and penalties. At this time, however, there has not been any demand made by the SEC nor is it possible to estimate the amount of any such fines and penalties, should they occur. See </w:t>
      </w:r>
      <w:r>
        <w:rPr>
          <w:rFonts w:ascii="Arial" w:cs="Arial" w:eastAsia="Arial" w:hAnsi="Arial"/>
          <w:sz w:val="18"/>
          <w:szCs w:val="18"/>
          <w:i w:val="1"/>
          <w:iCs w:val="1"/>
          <w:color w:val="auto"/>
        </w:rPr>
        <w:t>Note 15 - Commitments and Contingencies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pursuant to the rules and regulations of the SEC and have been consistently applied. In the opinion of management, all adjustments (consisting of normal recurring accruals) considered necessary for a fair presentation have been included. These financial statements are condensed and should be read in conjunction with the audited financial statements and notes thereto for the fiscal years ended December 31, 2021 and 2020. Operating results for the three months ended March 31, 2022 are not necessarily indicative of the results that may be expected for the year ending December 31, 2022.</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HF Group and certain variable interest entities for which the Company is the primary beneficiary. All intercompany balances and transactions have been eliminated in consolidation. For consolidated entities where we own or are exposed to less than 100% of the economics, the Company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records net income (loss) attributable to noncontrolling interest in its consolidated statements of income equal to the percentage of the economic or ownership interest retained in such entity by the respective noncontrolling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GAAP provides guidance on the identification of VIEs and financial reporting for entities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receives the economic benefits of the VIE that could be significant to the VIE. If deemed the primary beneficiary, the Company consolidates the VIE.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requires that noncontrolling interests in subsidiaries and affiliates be reported in the equity section of the Company’s condensed consolidated balance sheet. In addition, the amounts attributable to the net income of those subsidiaries are reported separately in the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noncontrolling interest equity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Ownership of</w:t>
            </w:r>
          </w:p>
        </w:tc>
        <w:tc>
          <w:tcPr>
            <w:tcW w:w="220" w:type="dxa"/>
            <w:vAlign w:val="bottom"/>
          </w:tcPr>
          <w:p>
            <w:pPr>
              <w:spacing w:after="0"/>
              <w:rPr>
                <w:sz w:val="17"/>
                <w:szCs w:val="17"/>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Noncontrolling</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thousands)</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6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HF Foods Industrial, Inc. ("HFFI")</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Min Food, Inc.</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39.75%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Monterey Food Service, LLC</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Ocean West Food Services, LLC</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32.50%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Syncglobal Inc. </w:t>
            </w:r>
            <w:r>
              <w:rPr>
                <w:rFonts w:ascii="Arial" w:cs="Arial" w:eastAsia="Arial" w:hAnsi="Arial"/>
                <w:sz w:val="23"/>
                <w:szCs w:val="23"/>
                <w:color w:val="auto"/>
                <w:vertAlign w:val="superscript"/>
              </w:rPr>
              <w:t>(a)</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340" w:hanging="332"/>
        <w:spacing w:after="0" w:line="255" w:lineRule="auto"/>
        <w:tabs>
          <w:tab w:leader="none" w:pos="337"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During the three months ended March 31, 2022, the Company entered into a joint venture with Syncglobal Inc. contributing $0.6 million and acquiring developed technology. See </w:t>
      </w:r>
      <w:r>
        <w:rPr>
          <w:rFonts w:ascii="Arial" w:cs="Arial" w:eastAsia="Arial" w:hAnsi="Arial"/>
          <w:sz w:val="14"/>
          <w:szCs w:val="14"/>
          <w:i w:val="1"/>
          <w:iCs w:val="1"/>
          <w:color w:val="auto"/>
        </w:rPr>
        <w:t>Note 8 -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Goodwill and Acquired Intangible Assets </w:t>
      </w:r>
      <w:r>
        <w:rPr>
          <w:rFonts w:ascii="Arial" w:cs="Arial" w:eastAsia="Arial" w:hAnsi="Arial"/>
          <w:sz w:val="14"/>
          <w:szCs w:val="14"/>
          <w:color w:val="auto"/>
        </w:rPr>
        <w:t>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allowance for doubtful accounts, inventory reserves, useful lives of property and equipment, lease assumptions, impairment of long-lived assets, impairment of long-term investments, lease guarantee liability,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Accounting Standards Update (“ASU”) 2016-13 (“ASU 2016-13”), Measurement of Credit Losses on Financial Instruments (Topic 326):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2016-13 requires companies to measure credit losses utilizing a methodology that reflects expected credit losses and requires a consideration of a broader range of reasonable and supportable information to inform credit loss estimates. ASU 2016-13 was further amended in November 2019 in “Codification Improvements to Topic 326, Financial Instruments-Credit losses”. This guidance is effective for fiscal years beginning after December 15, 2019, including those interim periods within those fiscal years. For emerging growth companies, the effective date has been extended to fiscal years beginning after December 15, 2022. The Company will adopt this ASU within the annual reporting period ending as of December 31, 2022 with an effective date of January 1, 2022 because, as of December 31, 2022, the Company will no longer be an emerging growth company. The Company is currently assessing the impact of adopting this standard, but based upon its preliminary assessment, does not expect the adoption of this guidance to have a material impact on its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 xml:space="preserve">In October 2021, the FASB issued ASU 2021-08, Business Combinations (Topic 805): </w:t>
      </w:r>
      <w:r>
        <w:rPr>
          <w:rFonts w:ascii="Arial" w:cs="Arial" w:eastAsia="Arial" w:hAnsi="Arial"/>
          <w:sz w:val="17"/>
          <w:szCs w:val="17"/>
          <w:i w:val="1"/>
          <w:iCs w:val="1"/>
          <w:color w:val="auto"/>
        </w:rPr>
        <w:t>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guidance requires an acquirer to, at the date of acquisition, recognize and measure the acquired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the same manner that they were recognized and measured in the acquiree's financial statements before the acquisition. This guidance is effective for interim and annual periods beginning after December 15, 2022, with early adoption permitted. The amendments in this update should be applied prospectively to business combinations occurring on or after the effective date. The Company is in the process of assessing the impact of this ASU on its future consolidated financial statements, but does not expect it to have a material impact.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VARIABLE INTEREST ENTITIES</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three VIEs for which the Company is not the primary beneficiary and therefore does not consolidate, and 14 VIEs for which the Company was the primary beneficiary and consolidates. The VIEs are summarized as follows noting which VIE's the Company no longer has transactions with in 2022:</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Unconsolidated VIEs (collectively "Unconsolidated VIEs"):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Revolution Industry, LLC (“Revolution Industry”) – Supplier of goods (until March 2021)</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UGO USA, Inc. (“UGO”) – Supplier of online goods, customer, and lessee (until April 2021)</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AnHeart, Inc. ("AnHeart")</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VIEs (collectively "Consolidated VIEs"):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FUSO Trucking LLC ("FUSO")</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13 staffing agencies (collectively, the “Staffing Agencies”) – Suppliers of staffing services through 2021:</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Anfu, Inc.</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Anshun, Inc.</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Chen Enterprises (until December 2020)</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Georgia Kam (until December 2020)</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Inchoi, Inc.</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Malways, Inc.</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Rousafe</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S&amp;P</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SNP</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Suntone</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THLI, Inc. (until December 2020)</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THLR, Inc. (until December 2020)</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TWRR, Inc. (until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FUSO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FUSO was established solely to provide exclusive trucking services to the Company. The entity lacks sufficient equity to finance its activities without additional subordinated financial support from the Company, and the Company has the power to direct the VIEs’ activities. In addition, the Company receives the economic benefits from the entity and has concluded that the Company is the primary beneficiary. The carrying amounts of the assets, liabilities, the results of operations and cash flows of the VIE included in the Company’s consolidated balance sheets, statements of income and comprehensive income (loss) and statements of cash flows are immaterial.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Staffing Agencies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Staffing Agencies were set up by an employee of the Company, or their relatives, and provided temporary labor services exclusively to the Company at the direction of the Company. There were no other substantive business activities of the Staffing Agencies. There were immaterial assets held, immaterial liabilities owed by the Staffing Agencies and immaterial equity. The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Company has determined it was the primary beneficiary for the Staffing Agencies through December 31, 2021 as it controlled how and when the labor force would be utilized. The Company did not have any guarantees, commitments or other forms of financing to the Staffing Agencies. Beginning January 1, 2022, the Company no longer has involvement with any of the Staffing Agencies.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Revolution Industry and UGO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Revolution Industry was established to produce egg roll mix for the Company. UGO was originally designed to be an online marketplace for various Asian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goods. Revolution Industry and UGO were thinly capitalized and were not able to finance their activities without additional subordinated support. The former Co-CEO's (Mr. Ni) son, as sole equity holder of Revolution Industry, had unilateral control over the ongoing activities of Revolution Industry and significantly benefited from their operations. Therefore, the Company is not the primary beneficiary for Revolution Industry. The former Co-CEO (Mr. Ni) and his niece, as equity holders, had unilateral control over the ongoing activities of UGO and significantly benefited from its operations. Therefore, the Company is not the primary beneficiary for UGO.</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Revolution Industry and UGO are also related parties and were generally the Company’s suppliers or customers and the Company did not have other involvement with these entities. Therefore, the Company’s exposure to loss due to its involvement with these entities was limited to amounts due from these entities. The Company did not have any guarantees, commitments, or other forms of financing with these entities. All transactions with Revolution Industry and UGO ceased in 2021, therefore, these entities are no longer considered VIEs as of March 31, 2022. Related party transactions, such as purchases of goods and services, with Revolution Industry and UGO are disclosed in </w:t>
      </w:r>
      <w:r>
        <w:rPr>
          <w:rFonts w:ascii="Arial" w:cs="Arial" w:eastAsia="Arial" w:hAnsi="Arial"/>
          <w:sz w:val="17"/>
          <w:szCs w:val="17"/>
          <w:i w:val="1"/>
          <w:iCs w:val="1"/>
          <w:color w:val="auto"/>
        </w:rPr>
        <w:t>Note 13 - Related Party Transactions</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AnHeart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AnHeart, Inc. was previously a subsidiary of the Company designed to sell traditional Chinese medicine, sold to a third-party in February 2019. As discussed in </w:t>
      </w:r>
      <w:r>
        <w:rPr>
          <w:rFonts w:ascii="Arial" w:cs="Arial" w:eastAsia="Arial" w:hAnsi="Arial"/>
          <w:sz w:val="18"/>
          <w:szCs w:val="18"/>
          <w:i w:val="1"/>
          <w:iCs w:val="1"/>
          <w:color w:val="auto"/>
        </w:rPr>
        <w:t>Note 15 - Commitments and Contingencies,</w:t>
      </w:r>
      <w:r>
        <w:rPr>
          <w:rFonts w:ascii="Arial" w:cs="Arial" w:eastAsia="Arial" w:hAnsi="Arial"/>
          <w:sz w:val="18"/>
          <w:szCs w:val="18"/>
          <w:color w:val="auto"/>
        </w:rPr>
        <w:t xml:space="preserve"> after the sale, the Company continued to provide a guarantee for all rent and related costs associated with two leases of AnHeart in Manhattan, New York. The Company reassessed its relationship with AnHeart and determined that AnHeart was a VIE as a result of the guarantee. However, the Company concluded it was not the primary beneficiary of AnHeart because it does not have the power to direct the activities of AnHeart that most significantly impact AnHeart's economic performance. Therefore, the Company is not the primary beneficiary for AnHeart. Please refer to </w:t>
      </w:r>
      <w:r>
        <w:rPr>
          <w:rFonts w:ascii="Arial" w:cs="Arial" w:eastAsia="Arial" w:hAnsi="Arial"/>
          <w:sz w:val="18"/>
          <w:szCs w:val="18"/>
          <w:i w:val="1"/>
          <w:iCs w:val="1"/>
          <w:color w:val="auto"/>
        </w:rPr>
        <w:t>Note 15 - Commitments and Contingencies</w:t>
      </w:r>
      <w:r>
        <w:rPr>
          <w:rFonts w:ascii="Arial" w:cs="Arial" w:eastAsia="Arial" w:hAnsi="Arial"/>
          <w:sz w:val="18"/>
          <w:szCs w:val="18"/>
          <w:color w:val="auto"/>
        </w:rPr>
        <w:t xml:space="preserve"> for additional information regarding the Company's maximum exposure to loss to AnHeart.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from the sale of products when control of each product passes to the customer and the customer accepts the goods, which occurs at delivery. Sales taxes invoiced to customers and remitted to government authorities are excluded from net sales.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follows ASC Topic 606 ("ASC 606")</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and 2021, revenue recognized from performance obligations related to prior periods was immaterial. Revenue expected to be recognized in any future periods related to remaining performance obligations is immaterial.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presents the Company's net revenue disaggregated by principal product categories: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4"/>
              </w:rPr>
              <w:t>Three Months Ended March 31,</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w w:val="84"/>
              </w:rPr>
              <w:t>2021</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Asian Specialty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Commodity</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Fresh Produce</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Meat and Poultry</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38,048</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24 %</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 and Other</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Seafood</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21,992</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8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NOTE 5 - BALANCE SHEET COMPONENTS</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60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1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44,147</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37,121</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allowance for doubtful accounts is as follows:</w:t>
            </w: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5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43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6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gridSpan w:val="2"/>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840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Increase (decrease) in provision for doubtful accounts</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write off / (recovery)</w:t>
            </w: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gridSpan w:val="2"/>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827</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Long-term investments consisted of the following:</w:t>
            </w: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5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Ownership 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5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14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March 31, 2022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Asahi Food, Inc.</w:t>
            </w:r>
          </w:p>
        </w:tc>
        <w:tc>
          <w:tcPr>
            <w:tcW w:w="11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4"/>
              </w:rPr>
              <w:t>49%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Pt. Tamron Akuatik Produk Industri ("Tamron")</w:t>
            </w:r>
          </w:p>
        </w:tc>
        <w:tc>
          <w:tcPr>
            <w:tcW w:w="1140" w:type="dxa"/>
            <w:vAlign w:val="bottom"/>
            <w:tcBorders>
              <w:bottom w:val="single" w:sz="8" w:color="CCEEFF"/>
            </w:tcBorders>
            <w:gridSpan w:val="2"/>
          </w:tcPr>
          <w:p>
            <w:pPr>
              <w:jc w:val="center"/>
              <w:ind w:left="350"/>
              <w:spacing w:after="0"/>
              <w:rPr>
                <w:sz w:val="20"/>
                <w:szCs w:val="20"/>
                <w:color w:val="auto"/>
              </w:rPr>
            </w:pPr>
            <w:r>
              <w:rPr>
                <w:rFonts w:ascii="Arial" w:cs="Arial" w:eastAsia="Arial" w:hAnsi="Arial"/>
                <w:sz w:val="18"/>
                <w:szCs w:val="18"/>
                <w:color w:val="auto"/>
                <w:w w:val="94"/>
              </w:rPr>
              <w:t>12%</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investment in Tamron is accounted for using the measurement alternative under ASC Topic 321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measured at cost, less any impairment, plus or minus changes resulting from observable price changes in orderly transactions for identical or similar investments, if any. The investment in Asahi Food, Inc. is accounted for under the equity method due to the fact that the Company has significant influence but does not exercise control over this investee. The Company determined there was no impairment as of March 31, 2022 and December 31, 2021 for these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71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r>
      <w:tr>
        <w:trPr>
          <w:trHeight w:val="243"/>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42424"/>
              </w:rPr>
              <w:t>Automobiles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31,577</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242424"/>
              </w:rPr>
              <w:t>Buildings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68,998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42424"/>
              </w:rPr>
              <w:t>Building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242424"/>
              </w:rPr>
              <w:t>Furniture and fixtures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42424"/>
              </w:rPr>
              <w:t>Land</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51,412</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242424"/>
              </w:rPr>
              <w:t>Machinery and equipment</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14,114</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185,316</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(41,077)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(39,408)</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$2.2 million and $2.0 million for the three months ended March 31, 2022 and 2021, respectively.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follows the provisions of ASC Topic 820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clarifies the definition of fair value, prescribes methods for measuring fair value, and establishes a fair value hierarchy to classify the inputs used in measuring fair value as follows: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available at the measurement date.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reported in the unaudited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of March 31, 2022, the carrying value of the fixed rate debt, which includes the Company's promissory note payable to related party, was $14.5 million and the fair value was $10.5 million. As of December 31, 2021, the carrying value of the fixed rate debt, which included the Company's promissory note payable to related party, was $15.0 million and the fair value was $12.2 million. The variable and fixed rate debt are both classified as Level 2. Please refer to </w:t>
      </w:r>
      <w:r>
        <w:rPr>
          <w:rFonts w:ascii="Arial" w:cs="Arial" w:eastAsia="Arial" w:hAnsi="Arial"/>
          <w:sz w:val="17"/>
          <w:szCs w:val="17"/>
          <w:i w:val="1"/>
          <w:iCs w:val="1"/>
          <w:color w:val="auto"/>
        </w:rPr>
        <w:t>Note 10 - Debt</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13 - Related Party Transactions</w:t>
      </w:r>
      <w:r>
        <w:rPr>
          <w:rFonts w:ascii="Arial" w:cs="Arial" w:eastAsia="Arial" w:hAnsi="Arial"/>
          <w:sz w:val="17"/>
          <w:szCs w:val="17"/>
          <w:color w:val="auto"/>
        </w:rPr>
        <w:t xml:space="preserve"> for additional information regarding the Company's debt.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the $14.5 million of fixed rate debt as of March 31, 2022, $4.5 million is related to the Company’s promissory note payable to related party, $2.4 million is attributable to real estate term loans with East West Bank, $2.5 million is attributable to vehicle and equipment term loans with Bank of America, $4.5 million is attributable to loans with First Horizon Bank, and $0.6 million is attributable to vehicle loans with other financial institutions.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Of the $15.0 million of fixed rate debt as of December 31, 2021, $4.5 million is related to the Company’s promissory note payable to related party, $2.5 million is attributable to real estate term loans with East West Bank, $2.7 million is attributable to vehicle and equipment term loans with Bank of America, $4.5 million is attributable to loans with First Horizon Bank, and $0.8 million is attributable to vehicle loans with other financial institutions.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9 - Derivative Financial Instruments</w:t>
      </w:r>
      <w:r>
        <w:rPr>
          <w:rFonts w:ascii="Arial" w:cs="Arial" w:eastAsia="Arial" w:hAnsi="Arial"/>
          <w:sz w:val="18"/>
          <w:szCs w:val="18"/>
          <w:color w:val="auto"/>
        </w:rPr>
        <w:t xml:space="preserve"> for additional information regarding the fair value of the Company's derivative financial instruments which are classified as Level 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30, 2021, the Company executed an Asset Purchase Agreement with Great Wall Seafood Supply Inc., a Texas Corporation; Great Wall Restaurant Supplier Inc., an Ohio Corporation, and First Mart Inc., an Illinois Corporation (collectively the “Great Wall Group”) to purchase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final aggregate price for the purchased assets was $43.7 million with $30.8 million paid in cash at closing and the issuance of 1,792,981 shares of common stock of the Company (based on a 60-day VWAP of $7.36), with a fair value of $12.9 million based on the share price of $8.11 per share at closing and an 11.5% discount due to a lock-up restriction. In addition to the closing cash payment, the Company separately acquired all of the Sellers’ saleable product inventory of approximately $24.3 million (fair value of $24.7 million) of which approximately $6.8 million was paid during the year ended December 31, 2021 and $17.4 million was recorded in accounts payable on the consolidated balance sheets as of December 31, 2021. The Company also acquired additional vehicles for approximately $0.2 million. As such, the total acquisition price for all operating assets and inventory was approximately $68.2 million. During the three months ended March 31, 2022, the Company paid the $17.4 million to acquire the remaining saleable product inventory.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accounted for this transaction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were reflected in distribution, selling and administrative expenses in the condensed consolidated statement of income and comprehensive income (loss) and totaled $1.3 million, $0.4 million for the three months ended March 31, 2022 and $0.9 million for the year ended December 31, 2021.</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780" w:type="dxa"/>
            <w:vAlign w:val="bottom"/>
          </w:tcPr>
          <w:p>
            <w:pPr>
              <w:spacing w:after="0"/>
              <w:rPr>
                <w:sz w:val="20"/>
                <w:szCs w:val="20"/>
                <w:color w:val="auto"/>
              </w:rPr>
            </w:pPr>
            <w:r>
              <w:rPr>
                <w:rFonts w:ascii="Arial" w:cs="Arial" w:eastAsia="Arial" w:hAnsi="Arial"/>
                <w:sz w:val="18"/>
                <w:szCs w:val="18"/>
                <w:color w:val="auto"/>
              </w:rPr>
              <w:t>The total consideration paid to acquire the assets and liabilities of the Great Wall Group is as set forth below:</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56,410</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68,155</w:t>
            </w:r>
          </w:p>
        </w:tc>
      </w:tr>
      <w:tr>
        <w:trPr>
          <w:trHeight w:val="21"/>
        </w:trPr>
        <w:tc>
          <w:tcPr>
            <w:tcW w:w="9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acquired intangible assets of $30.1 million, including tradenames and trademarks of $10.5 million, customer relationships of $17.2 million and non-compete agreements of $2.4 million. The fair value of customer relationships was determined by applying the income approach utilizing the excess earnings methodology using Level 3 inputs including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discount rate. The fair value of tradenames and trademarks was determined by applying the income approach utilizing the relief from royalty methodology</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and Level 3 inputs including a royalty rate of 1% and a discount rate. The fair value of non-competition agreements was determined by applying the income approach using Level 3 inputs including a discount rate. Discount rates used in determining fair values for customer relationships, tradenames and trademarks, and non-competition agreements ranged from 11.5% to 14.0%. The useful lives of the tradenames and trademarks are ten years, customer relationships are ten years and non-compete agreements are three years, with a weighted average amortization period of approximately nine years. The associated goodwill is deductible for tax purposes. See </w:t>
      </w:r>
      <w:r>
        <w:rPr>
          <w:rFonts w:ascii="Arial" w:cs="Arial" w:eastAsia="Arial" w:hAnsi="Arial"/>
          <w:sz w:val="18"/>
          <w:szCs w:val="18"/>
          <w:i w:val="1"/>
          <w:iCs w:val="1"/>
          <w:color w:val="auto"/>
        </w:rPr>
        <w:t>Note 8 - Goodwill and Acquired Intangible Assets</w:t>
      </w:r>
      <w:r>
        <w:rPr>
          <w:rFonts w:ascii="Arial" w:cs="Arial" w:eastAsia="Arial" w:hAnsi="Arial"/>
          <w:sz w:val="18"/>
          <w:szCs w:val="18"/>
          <w:color w:val="auto"/>
        </w:rPr>
        <w:t xml:space="preserve"> for additional information on acquired intangibles in the Great Wall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Supplemental Pro Forma Financial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presents the Company’s unaudited pro forma results for the three months ended March 31, 2021, as if the Great Wall Acquisition had been consummated on January 1, 2021. The unaudited pro forma financial information presented includes the effects of adjustments related to the amortization of acquired intangible assets and excludes synergies and other non-recurring transaction costs directly associated with the acquisition such as legal and other professional service fees. Statutory rates were used to calculate income taxes. Accordingly, the unaudited pro forma information does not necessarily reflect the actual results that would have occurred, nor is it necessarily indicative of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6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2022</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199,791</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attributable to HF Group</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Sealand Acquisition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March 31, 2022, 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is in the process of finalizing its purchase accounting, which relates to the valuation of acquired inventory and intangible assets, which may impact the valuation of goodwill.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accounted for this transaction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 The purchase price allocation is subject to further adjustment until all pertinent information regarding the assets and liabilities acquired are fully evaluated by the Company, not to exceed one year as permitted under ASC 805</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performed an allocation of the total consideration paid to acquire the assets and liabilities of Sealand, as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14,717</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30,114</w:t>
            </w:r>
          </w:p>
        </w:tc>
      </w:tr>
      <w:tr>
        <w:trPr>
          <w:trHeight w:val="257"/>
        </w:trPr>
        <w:tc>
          <w:tcPr>
            <w:tcW w:w="9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under operating leases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recorded acquired intangible assets of $14.7 million, which were measured at fair value using Level 3 inputs. These intangible assets include tradenames and trademarks of $4.4 million, customer relationships of $8.9 million and non-compete agreements of $1.4 million. The fair value of customer</w:t>
      </w:r>
    </w:p>
    <w:p>
      <w:pPr>
        <w:jc w:val="both"/>
        <w:spacing w:after="0" w:line="308" w:lineRule="auto"/>
        <w:rPr>
          <w:sz w:val="20"/>
          <w:szCs w:val="20"/>
          <w:color w:val="auto"/>
        </w:rPr>
      </w:pPr>
      <w:r>
        <w:rPr>
          <w:rFonts w:ascii="Arial" w:cs="Arial" w:eastAsia="Arial" w:hAnsi="Arial"/>
          <w:sz w:val="16"/>
          <w:szCs w:val="16"/>
          <w:color w:val="auto"/>
        </w:rPr>
        <w:t>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w:t>
      </w:r>
    </w:p>
    <w:p>
      <w:pPr>
        <w:jc w:val="both"/>
        <w:spacing w:after="0" w:line="257" w:lineRule="auto"/>
        <w:rPr>
          <w:sz w:val="20"/>
          <w:szCs w:val="20"/>
          <w:color w:val="auto"/>
        </w:rPr>
      </w:pPr>
      <w:r>
        <w:rPr>
          <w:rFonts w:ascii="Arial" w:cs="Arial" w:eastAsia="Arial" w:hAnsi="Arial"/>
          <w:sz w:val="18"/>
          <w:szCs w:val="18"/>
          <w:color w:val="auto"/>
        </w:rPr>
        <w:t>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non-compete agreements are three years, with a weighted average amortization period of approximately nine years. The associated goodwill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ACQUIRED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was $80.3 million as of March 31, 2022 and December 31, 2021. There was no change in the carrying amount of goodwill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b w:val="1"/>
                <w:bCs w:val="1"/>
                <w:i w:val="1"/>
                <w:iCs w:val="1"/>
                <w:color w:val="auto"/>
                <w:w w:val="94"/>
              </w:rPr>
              <w:t>Acquired Intangible Assets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260" w:type="dxa"/>
            <w:vAlign w:val="bottom"/>
            <w:gridSpan w:val="7"/>
          </w:tcPr>
          <w:p>
            <w:pPr>
              <w:spacing w:after="0"/>
              <w:rPr>
                <w:sz w:val="20"/>
                <w:szCs w:val="20"/>
                <w:color w:val="auto"/>
              </w:rPr>
            </w:pPr>
            <w:r>
              <w:rPr>
                <w:rFonts w:ascii="Arial" w:cs="Arial" w:eastAsia="Arial" w:hAnsi="Arial"/>
                <w:sz w:val="18"/>
                <w:szCs w:val="18"/>
                <w:color w:val="auto"/>
              </w:rPr>
              <w:t>The components of the intangible assets are presented below:</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2022</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December 31, 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8"/>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Carrying</w:t>
            </w:r>
          </w:p>
        </w:tc>
      </w:tr>
      <w:tr>
        <w:trPr>
          <w:trHeight w:val="261"/>
        </w:trPr>
        <w:tc>
          <w:tcPr>
            <w:tcW w:w="2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2"/>
                <w:szCs w:val="2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amount</w:t>
            </w:r>
          </w:p>
        </w:tc>
        <w:tc>
          <w:tcPr>
            <w:tcW w:w="220" w:type="dxa"/>
            <w:vAlign w:val="bottom"/>
          </w:tcPr>
          <w:p>
            <w:pPr>
              <w:spacing w:after="0"/>
              <w:rPr>
                <w:sz w:val="22"/>
                <w:szCs w:val="22"/>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2"/>
                <w:szCs w:val="22"/>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Non-competition</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agreement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r>
      <w:tr>
        <w:trPr>
          <w:trHeight w:val="243"/>
        </w:trPr>
        <w:tc>
          <w:tcPr>
            <w:tcW w:w="222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33,484</w:t>
            </w:r>
          </w:p>
        </w:tc>
      </w:tr>
      <w:tr>
        <w:trPr>
          <w:trHeight w:val="27"/>
        </w:trPr>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159,161</w:t>
            </w:r>
          </w:p>
        </w:tc>
      </w:tr>
      <w:tr>
        <w:trPr>
          <w:trHeight w:val="270"/>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218,648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195,052</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intangible assets was $3.6 million and $2.7 million for the three months ended March 31, 2022 and March 31, 2021, respectively.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The Company utilizes interest rate swaps ("IRS") contracts for the sole purpose of mitigating interest rate fluctuation risk associated with floating rate debt instruments (as defined in </w:t>
      </w:r>
      <w:r>
        <w:rPr>
          <w:rFonts w:ascii="Arial" w:cs="Arial" w:eastAsia="Arial" w:hAnsi="Arial"/>
          <w:sz w:val="16"/>
          <w:szCs w:val="16"/>
          <w:i w:val="1"/>
          <w:iCs w:val="1"/>
          <w:color w:val="auto"/>
        </w:rPr>
        <w:t>Note 10 - Debt</w:t>
      </w:r>
      <w:r>
        <w:rPr>
          <w:rFonts w:ascii="Arial" w:cs="Arial" w:eastAsia="Arial" w:hAnsi="Arial"/>
          <w:sz w:val="16"/>
          <w:szCs w:val="16"/>
          <w:color w:val="auto"/>
        </w:rPr>
        <w:t>). The Company does not use any other derivative financial instruments for trading or speculative purposes.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August 20, 2019, HF Group entered into two IRS contracts with East West Bank (the "EWB IRS") for initial notional amounts of $1.1 million and $2.6 million, respectively. The EWB IRS contracts were entered into in conjunction with two mortgage term loans of corresponding amounts that were priced at USD 1-month LIBOR (London Interbank Offering Rate) plus 2.25% per annum for the entire duration of the term loans. The EWB IRS contracts fixed the two term loans at 4.23% per annum until maturity in September 2029.</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December 19, 2019, HF Group entered into an IRS contract with Bank of America (the "BOA IRS") for an initial notional amount of $2.7 million in conjunction with a newly contracted mortgage term loan of corresponding amount. The term loan was contracted at USD 1-month LIBOR plus 2.15% per annum, but was fixed at 4.25% per annum resulting from the corresponding BOA IRS contract. On December 19, 2021, the Company entered into the Second Amendment to Loan Agreement, which pegged the mortgage term loan to SOFR (Secured Overnight Financing Rate) + 2.5%. The BOA IRS was modified accordingly to fix the SOFR based loan to approximately 4.50%. The term loan and corresponding BOA IRS contract mature in December 2029.</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June 24, 2020, HF Group entered into a forward starting IRS contract with J.P. Morgan Chase Bank (the "JPM IRS") for a fixed $80.0 million notional amount, effective from June 30, 2021 and expiring on June 30, 2025, as a means to partially hedge its existing floating rate loans exposure. On March 3, 2021, the Company unwound the JPM IRS. The contract was unwound with a view that 1-month LIBOR will continue to remain low in the foreseeable future despite the spike at the long end of the yield curve. The Company recorded a gain of approximately $0.7 million in the three months ended March 31, 2021.</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evaluated the above mentioned interest rate swap contracts currently in place and did not designate those as cash flow hedges. Hence, the fair value change on the aforementioned interest rate swap contracts are accounted for and recognized as a change in fair value of interest rate swap contracts in the unaudited condensed consolidated statements of income and comprehensive income (loss).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2022, the Company determined that the fair value of the IRS contracts in an asset position was $0.1 million, which is included in other current assets in the unaudited condensed consolidated balance sheets. As of December 31, 2021, the Company determined that the fair value of the interest rate swap contracts in a liability position was $0.3 million, which is included in accrued expenses and other liabilities in the unaudited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IRS are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4, 2019, the Company entered into a credit agreement with J.P. Morgan Chase Bank (the “JPM Credit Agreement”). The JPM Credit Agreement provides for a $100.0 million asset-secured revolving credit facility maturing on November 4, 2022, with an option to renew at the bank’s discretion. On January 17, 2020, the Company and certain of its wholly-owned subsidiaries and affiliates of the Company as borrowers, and certain material subsidiaries of the Company as guarantors, entered into the Second Amended and Restated Credit Agreement (the "Second Amended Credit Agreement"). On December 31, 2021, the Company entered into the Consent, Waiver, Joinder and Amendment No. 3 to the Second Amended Credit Agreement with JP Morgan, as Administrative Agent, and certain lender parties thereto including Comerica Bank. The Second Amended Credit Agreement, provided for (i) a $100.0 million asset-secured revolving credit facility maturing on November 4, 2022 (the “Revolving Facility”), (ii) a mortgage-secured term loan of $75.6 million (the "Term Loan"), and (iii) amendment to the referenced interest rate from 1-month LIBOR to 1-month Secured Overnight Financing Rate (“SOFR”) plus a credit adjustment of 0.1% (difference between LIBOR and SOFR plus 1.375% per annum).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 and effective tangible net worth.</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31, 2022, the Company amended the JPM Credit Agreement extending the Revolver Facility for five years. The amendment provides for a $100.0 million asset-secured revolving credit facility with a 1-month SOFR plus a credit adjustment of 0.1% plus 1.375% per annum as well as an increase in the Term Loan from $69.0 million to $115.0 million with a 1-month SOFR plus a credit adjustment of 0.1% plus 1.875% per annum, (the "2022 Credit Agreement"). In connection with the amendment, the Company incurred $0.6 million in financing fees, of which $0.5 million will be amortized over the life of the respective facilities. Additionally, $0.1 million of the unamortized financing fees related to the Revolving Facility has been deferred and will be amortized over the life of the Revolving Facility. As of March 31, 2022, the Company had not received the Term Loan funds, as such, it did not record the $46.0 million increase on its unaudited condensed consolidated balance sheet.</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March 31, 2022, the Company was in compliance with its covenants. Subsequent to March 31, 2022, the Company's lenders consented to the delivery of the Company's 2021 audited financial statements on or before January 31, 2023. The outstanding principal balance on the line of credit as of March 31, 2022 was $68.4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March 31, 2022 and December 31, 2021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4"/>
          </w:tcPr>
          <w:p>
            <w:pPr>
              <w:jc w:val="right"/>
              <w:ind w:right="870"/>
              <w:spacing w:after="0"/>
              <w:rPr>
                <w:sz w:val="20"/>
                <w:szCs w:val="20"/>
                <w:color w:val="auto"/>
              </w:rPr>
            </w:pPr>
            <w:r>
              <w:rPr>
                <w:rFonts w:ascii="Arial" w:cs="Arial" w:eastAsia="Arial" w:hAnsi="Arial"/>
                <w:sz w:val="18"/>
                <w:szCs w:val="18"/>
                <w:color w:val="auto"/>
              </w:rPr>
              <w:t>(in thousands)</w:t>
            </w:r>
          </w:p>
        </w:tc>
      </w:t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Interest Rate as of</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3320" w:type="dxa"/>
            <w:vAlign w:val="bottom"/>
            <w:gridSpan w:val="2"/>
          </w:tcPr>
          <w:p>
            <w:pPr>
              <w:ind w:left="1160"/>
              <w:spacing w:after="0"/>
              <w:rPr>
                <w:sz w:val="20"/>
                <w:szCs w:val="20"/>
                <w:color w:val="auto"/>
              </w:rPr>
            </w:pPr>
            <w:r>
              <w:rPr>
                <w:rFonts w:ascii="Arial" w:cs="Arial" w:eastAsia="Arial" w:hAnsi="Arial"/>
                <w:sz w:val="18"/>
                <w:szCs w:val="18"/>
                <w:b w:val="1"/>
                <w:bCs w:val="1"/>
                <w:color w:val="auto"/>
              </w:rPr>
              <w:t>Bank Name</w:t>
            </w: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32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Bank of America </w:t>
            </w:r>
            <w:r>
              <w:rPr>
                <w:rFonts w:ascii="Arial" w:cs="Arial" w:eastAsia="Arial" w:hAnsi="Arial"/>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May 2022 - December 2029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r>
      <w:tr>
        <w:trPr>
          <w:trHeight w:val="229"/>
        </w:trPr>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East West Bank </w:t>
            </w:r>
            <w:r>
              <w:rPr>
                <w:rFonts w:ascii="Arial" w:cs="Arial" w:eastAsia="Arial" w:hAnsi="Arial"/>
                <w:sz w:val="23"/>
                <w:szCs w:val="23"/>
                <w:color w:val="auto"/>
                <w:vertAlign w:val="superscript"/>
              </w:rPr>
              <w:t>(b)</w:t>
            </w: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2027 - September 2029</w:t>
            </w: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7"/>
              </w:rPr>
              <w:t>4.40%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5,994</w:t>
            </w:r>
          </w:p>
        </w:tc>
      </w:tr>
      <w:tr>
        <w:trPr>
          <w:trHeight w:val="230"/>
        </w:trPr>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First Horizon Bank </w:t>
            </w:r>
            <w:r>
              <w:rPr>
                <w:rFonts w:ascii="Arial" w:cs="Arial" w:eastAsia="Arial" w:hAnsi="Arial"/>
                <w:sz w:val="23"/>
                <w:szCs w:val="23"/>
                <w:color w:val="auto"/>
                <w:vertAlign w:val="superscript"/>
              </w:rPr>
              <w:t>(c)</w:t>
            </w:r>
          </w:p>
        </w:tc>
        <w:tc>
          <w:tcPr>
            <w:tcW w:w="30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October 2027</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3.85%</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30"/>
        </w:trPr>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J.P. Morgan Chase </w:t>
            </w:r>
            <w:r>
              <w:rPr>
                <w:rFonts w:ascii="Arial" w:cs="Arial" w:eastAsia="Arial" w:hAnsi="Arial"/>
                <w:sz w:val="23"/>
                <w:szCs w:val="23"/>
                <w:color w:val="auto"/>
                <w:vertAlign w:val="superscript"/>
              </w:rPr>
              <w:t>(d)</w:t>
            </w: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2023 - January 2030</w:t>
            </w: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7"/>
              </w:rPr>
              <w:t>2.21%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70,866</w:t>
            </w:r>
          </w:p>
        </w:tc>
      </w:tr>
      <w:tr>
        <w:trPr>
          <w:trHeight w:val="230"/>
        </w:trPr>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finance institutions </w:t>
            </w:r>
            <w:r>
              <w:rPr>
                <w:rFonts w:ascii="Arial" w:cs="Arial" w:eastAsia="Arial" w:hAnsi="Arial"/>
                <w:sz w:val="23"/>
                <w:szCs w:val="23"/>
                <w:color w:val="auto"/>
                <w:vertAlign w:val="superscript"/>
              </w:rPr>
              <w:t>(e)</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July 2022 - March 2024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7.53%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debt, principal amount</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87,403</w:t>
            </w:r>
          </w:p>
        </w:tc>
      </w:tr>
      <w:tr>
        <w:trPr>
          <w:trHeight w:val="23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debt, carrying value</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87,368</w:t>
            </w:r>
          </w:p>
        </w:tc>
      </w:tr>
      <w:tr>
        <w:trPr>
          <w:trHeight w:val="23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81,811</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340" w:hanging="332"/>
        <w:spacing w:after="0" w:line="257" w:lineRule="auto"/>
        <w:tabs>
          <w:tab w:leader="none" w:pos="337" w:val="left"/>
        </w:tabs>
        <w:numPr>
          <w:ilvl w:val="0"/>
          <w:numId w:val="5"/>
        </w:numPr>
        <w:rPr>
          <w:rFonts w:ascii="Arial" w:cs="Arial" w:eastAsia="Arial" w:hAnsi="Arial"/>
          <w:sz w:val="14"/>
          <w:szCs w:val="14"/>
          <w:color w:val="auto"/>
        </w:rPr>
      </w:pPr>
      <w:r>
        <w:rPr>
          <w:rFonts w:ascii="Arial" w:cs="Arial" w:eastAsia="Arial" w:hAnsi="Arial"/>
          <w:sz w:val="14"/>
          <w:szCs w:val="14"/>
          <w:color w:val="auto"/>
        </w:rPr>
        <w:t>Loan balance consists of real estate term loan, equipment term loans, and vehicle term loans, collateralized by one real property and specific equipment and vehicles. The real estate term is pegged to TERM SOFR + 2.5%.</w:t>
      </w: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Real estate term loans with East West Bank are collateralized by four real properties. Balloon payments of $2.2 million and $2.9 million are due at maturity in 2027 and 2029, respectively.</w:t>
      </w:r>
    </w:p>
    <w:p>
      <w:pPr>
        <w:spacing w:after="0" w:line="17"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Secured by real property. Balloon payment for this debt is $3.1 million at maturity.</w:t>
      </w:r>
    </w:p>
    <w:p>
      <w:pPr>
        <w:spacing w:after="0" w:line="9" w:lineRule="exact"/>
        <w:rPr>
          <w:rFonts w:ascii="Arial" w:cs="Arial" w:eastAsia="Arial" w:hAnsi="Arial"/>
          <w:sz w:val="14"/>
          <w:szCs w:val="14"/>
          <w:color w:val="auto"/>
        </w:rPr>
      </w:pPr>
    </w:p>
    <w:p>
      <w:pPr>
        <w:jc w:val="both"/>
        <w:ind w:left="340" w:hanging="332"/>
        <w:spacing w:after="0" w:line="272"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Real estate term loan with a principal balance of $69.0 million as of March 31, 2022 and $69.8 million as of December 31, 2021 is secured by assets held by the Company and has a maturity date of January 2030. Equipment term loan with a principal balance of $0.9 million as of March 31, 2022 and $1.0 million as of December 31, 2021 is secured by specific vehicles and equipment as defined in loan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7" w:name="page18"/>
    <w:bookmarkEnd w:id="17"/>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Secured by vehicles.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March 31, 2022 and December 31, 2021, the Company was in compliance with its covenants. Subsequent to March 31, 2022, the Company's lenders consented to the delivery of the Company's 2021 audited financial statements on or before January 31,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computes earnings per share (“EPS”) in accordance with ASC Topic 260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14,381 potential common shares related to total shareholder return performance-based restricted stock units that were excluded from the calculation of diluted EPS for the three months ended March 31, 2022 because their effect would have been anti-dilutive. There were no anti-dilutive potential common shares for the three months ended March 31, 2021</w:t>
      </w:r>
      <w:r>
        <w:rPr>
          <w:rFonts w:ascii="Arial" w:cs="Arial" w:eastAsia="Arial" w:hAnsi="Arial"/>
          <w:sz w:val="17"/>
          <w:szCs w:val="17"/>
          <w:color w:val="008080"/>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The following table sets forth the computation of basic and diluted EPS: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3"/>
        </w:trPr>
        <w:tc>
          <w:tcPr>
            <w:tcW w:w="7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shares and per share data)</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Net income attributable to HF Foods Group Inc.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57"/>
        </w:trPr>
        <w:tc>
          <w:tcPr>
            <w:tcW w:w="7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53,706,392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51,913,411</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securities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dilutive shares outstanding</w:t>
            </w: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53,884,510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51,913,411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months ended March 31, 2022, the Company's effective income tax rate of 26.0% differed from the federal statutory tax rate primarily as a result of state income taxes. For the three months ended March 31, 2021, the Company's effective income tax rate of 28.0% differed from the federal statutory tax rate primarily as a result of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Zhou Min Ni ("Mr. Ni"), the Company's former Co-Chief Executive Officer, resigned from all of his official posts on February 23, 2021. Mr. Ni and his immediate family members are treated as related parties for purposes of this report because Mr. Ni is a principal holder of the Company's securities.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North Carolina Good Taste Noodle, Inc. ("NC Noodle") is a related party due to Mr. Jian Ming Ni's, a former Chief Financial Officer of the Company, continued ownership interest in NC Noodle.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Revolution Industry and UGO, are also considered Unconsolidated VIEs as discussed further in </w:t>
      </w:r>
      <w:r>
        <w:rPr>
          <w:rFonts w:ascii="Arial" w:cs="Arial" w:eastAsia="Arial" w:hAnsi="Arial"/>
          <w:sz w:val="18"/>
          <w:szCs w:val="18"/>
          <w:i w:val="1"/>
          <w:iCs w:val="1"/>
          <w:color w:val="auto"/>
        </w:rPr>
        <w:t>Note 3 – Variable Interest Entities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related party transactions as of March 31, 2022 and December 31, 2021 and for the three months ended March 31, 2022 and 2021 are identified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Sales and Purchases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makes regular sales to and purchases from various related parties.</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Purchase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purchases of goods and services from related parties recorded for the three months ended March 31, 2022 and 2021,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Nature</w:t>
            </w:r>
          </w:p>
        </w:tc>
        <w:tc>
          <w:tcPr>
            <w:tcW w:w="24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61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Best Food Services, LLC</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Trade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30"/>
        </w:trPr>
        <w:tc>
          <w:tcPr>
            <w:tcW w:w="320" w:type="dxa"/>
            <w:vAlign w:val="bottom"/>
          </w:tcPr>
          <w:p>
            <w:pPr>
              <w:ind w:left="20"/>
              <w:spacing w:after="0"/>
              <w:rPr>
                <w:sz w:val="20"/>
                <w:szCs w:val="20"/>
                <w:color w:val="auto"/>
              </w:rPr>
            </w:pPr>
            <w:r>
              <w:rPr>
                <w:rFonts w:ascii="Arial" w:cs="Arial" w:eastAsia="Arial" w:hAnsi="Arial"/>
                <w:sz w:val="18"/>
                <w:szCs w:val="18"/>
                <w:color w:val="auto"/>
              </w:rPr>
              <w:t>(b)</w:t>
            </w:r>
          </w:p>
        </w:tc>
        <w:tc>
          <w:tcPr>
            <w:tcW w:w="6120" w:type="dxa"/>
            <w:vAlign w:val="bottom"/>
          </w:tcPr>
          <w:p>
            <w:pPr>
              <w:ind w:left="80"/>
              <w:spacing w:after="0"/>
              <w:rPr>
                <w:sz w:val="20"/>
                <w:szCs w:val="20"/>
                <w:color w:val="auto"/>
              </w:rPr>
            </w:pPr>
            <w:r>
              <w:rPr>
                <w:rFonts w:ascii="Arial" w:cs="Arial" w:eastAsia="Arial" w:hAnsi="Arial"/>
                <w:sz w:val="18"/>
                <w:szCs w:val="18"/>
                <w:color w:val="auto"/>
              </w:rPr>
              <w:t>Eastern Fresh NJ LLC</w:t>
            </w:r>
          </w:p>
        </w:tc>
        <w:tc>
          <w:tcPr>
            <w:tcW w:w="17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30"/>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Enson Group, Inc. (formerly "Enson Group, LLC")</w:t>
            </w:r>
          </w:p>
        </w:tc>
        <w:tc>
          <w:tcPr>
            <w:tcW w:w="1780" w:type="dxa"/>
            <w:vAlign w:val="bottom"/>
            <w:gridSpan w:val="3"/>
            <w:shd w:val="clear" w:color="auto" w:fill="CCEEFF"/>
          </w:tcPr>
          <w:p>
            <w:pPr>
              <w:jc w:val="center"/>
              <w:ind w:right="250"/>
              <w:spacing w:after="0"/>
              <w:rPr>
                <w:sz w:val="20"/>
                <w:szCs w:val="20"/>
                <w:color w:val="auto"/>
              </w:rPr>
            </w:pPr>
            <w:r>
              <w:rPr>
                <w:rFonts w:ascii="Arial" w:cs="Arial" w:eastAsia="Arial" w:hAnsi="Arial"/>
                <w:sz w:val="18"/>
                <w:szCs w:val="18"/>
                <w:color w:val="auto"/>
                <w:w w:val="84"/>
              </w:rPr>
              <w:t>Trade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20" w:type="dxa"/>
            <w:vAlign w:val="bottom"/>
          </w:tcPr>
          <w:p>
            <w:pPr>
              <w:ind w:left="20"/>
              <w:spacing w:after="0"/>
              <w:rPr>
                <w:sz w:val="20"/>
                <w:szCs w:val="20"/>
                <w:color w:val="auto"/>
              </w:rPr>
            </w:pPr>
            <w:r>
              <w:rPr>
                <w:rFonts w:ascii="Arial" w:cs="Arial" w:eastAsia="Arial" w:hAnsi="Arial"/>
                <w:sz w:val="18"/>
                <w:szCs w:val="18"/>
                <w:color w:val="auto"/>
              </w:rPr>
              <w:t>(d)</w:t>
            </w:r>
          </w:p>
        </w:tc>
        <w:tc>
          <w:tcPr>
            <w:tcW w:w="6120" w:type="dxa"/>
            <w:vAlign w:val="bottom"/>
          </w:tcPr>
          <w:p>
            <w:pPr>
              <w:ind w:left="80"/>
              <w:spacing w:after="0"/>
              <w:rPr>
                <w:sz w:val="20"/>
                <w:szCs w:val="20"/>
                <w:color w:val="auto"/>
              </w:rPr>
            </w:pPr>
            <w:r>
              <w:rPr>
                <w:rFonts w:ascii="Arial" w:cs="Arial" w:eastAsia="Arial" w:hAnsi="Arial"/>
                <w:sz w:val="18"/>
                <w:szCs w:val="18"/>
                <w:color w:val="auto"/>
              </w:rPr>
              <w:t>First Choice Seafood, Inc.</w:t>
            </w:r>
          </w:p>
        </w:tc>
        <w:tc>
          <w:tcPr>
            <w:tcW w:w="17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Fujian RongFeng Plastic Co., Ltd.</w:t>
            </w:r>
          </w:p>
        </w:tc>
        <w:tc>
          <w:tcPr>
            <w:tcW w:w="1780" w:type="dxa"/>
            <w:vAlign w:val="bottom"/>
            <w:gridSpan w:val="3"/>
            <w:shd w:val="clear" w:color="auto" w:fill="CCEEFF"/>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320" w:type="dxa"/>
            <w:vAlign w:val="bottom"/>
          </w:tcPr>
          <w:p>
            <w:pPr>
              <w:ind w:left="20"/>
              <w:spacing w:after="0"/>
              <w:rPr>
                <w:sz w:val="20"/>
                <w:szCs w:val="20"/>
                <w:color w:val="auto"/>
              </w:rPr>
            </w:pPr>
            <w:r>
              <w:rPr>
                <w:rFonts w:ascii="Arial" w:cs="Arial" w:eastAsia="Arial" w:hAnsi="Arial"/>
                <w:sz w:val="18"/>
                <w:szCs w:val="18"/>
                <w:color w:val="auto"/>
              </w:rPr>
              <w:t>(f)</w:t>
            </w:r>
          </w:p>
        </w:tc>
        <w:tc>
          <w:tcPr>
            <w:tcW w:w="6120" w:type="dxa"/>
            <w:vAlign w:val="bottom"/>
          </w:tcPr>
          <w:p>
            <w:pPr>
              <w:ind w:left="80"/>
              <w:spacing w:after="0"/>
              <w:rPr>
                <w:sz w:val="20"/>
                <w:szCs w:val="20"/>
                <w:color w:val="auto"/>
              </w:rPr>
            </w:pPr>
            <w:r>
              <w:rPr>
                <w:rFonts w:ascii="Arial" w:cs="Arial" w:eastAsia="Arial" w:hAnsi="Arial"/>
                <w:sz w:val="18"/>
                <w:szCs w:val="18"/>
                <w:color w:val="auto"/>
              </w:rPr>
              <w:t>Han Feng Information Technology (Jinhua) Inc.</w:t>
            </w:r>
          </w:p>
        </w:tc>
        <w:tc>
          <w:tcPr>
            <w:tcW w:w="1780" w:type="dxa"/>
            <w:vAlign w:val="bottom"/>
            <w:gridSpan w:val="3"/>
          </w:tcPr>
          <w:p>
            <w:pPr>
              <w:jc w:val="center"/>
              <w:ind w:right="230"/>
              <w:spacing w:after="0"/>
              <w:rPr>
                <w:sz w:val="20"/>
                <w:szCs w:val="20"/>
                <w:color w:val="auto"/>
              </w:rPr>
            </w:pPr>
            <w:r>
              <w:rPr>
                <w:rFonts w:ascii="Arial" w:cs="Arial" w:eastAsia="Arial" w:hAnsi="Arial"/>
                <w:sz w:val="18"/>
                <w:szCs w:val="18"/>
                <w:color w:val="auto"/>
                <w:w w:val="89"/>
              </w:rPr>
              <w:t>Service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North Carolina Good Taste Noodle, Inc.</w:t>
            </w:r>
          </w:p>
        </w:tc>
        <w:tc>
          <w:tcPr>
            <w:tcW w:w="1780" w:type="dxa"/>
            <w:vAlign w:val="bottom"/>
            <w:gridSpan w:val="3"/>
            <w:shd w:val="clear" w:color="auto" w:fill="CCEEFF"/>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320" w:type="dxa"/>
            <w:vAlign w:val="bottom"/>
          </w:tcPr>
          <w:p>
            <w:pPr>
              <w:ind w:left="20"/>
              <w:spacing w:after="0"/>
              <w:rPr>
                <w:sz w:val="20"/>
                <w:szCs w:val="20"/>
                <w:color w:val="auto"/>
              </w:rPr>
            </w:pPr>
            <w:r>
              <w:rPr>
                <w:rFonts w:ascii="Arial" w:cs="Arial" w:eastAsia="Arial" w:hAnsi="Arial"/>
                <w:sz w:val="18"/>
                <w:szCs w:val="18"/>
                <w:color w:val="auto"/>
              </w:rPr>
              <w:t>(h)</w:t>
            </w:r>
          </w:p>
        </w:tc>
        <w:tc>
          <w:tcPr>
            <w:tcW w:w="6120" w:type="dxa"/>
            <w:vAlign w:val="bottom"/>
          </w:tcPr>
          <w:p>
            <w:pPr>
              <w:ind w:left="80"/>
              <w:spacing w:after="0"/>
              <w:rPr>
                <w:sz w:val="20"/>
                <w:szCs w:val="20"/>
                <w:color w:val="auto"/>
              </w:rPr>
            </w:pPr>
            <w:r>
              <w:rPr>
                <w:rFonts w:ascii="Arial" w:cs="Arial" w:eastAsia="Arial" w:hAnsi="Arial"/>
                <w:sz w:val="18"/>
                <w:szCs w:val="18"/>
                <w:color w:val="auto"/>
              </w:rPr>
              <w:t>Ocean Pacific Seafood Group Inc.</w:t>
            </w:r>
          </w:p>
        </w:tc>
        <w:tc>
          <w:tcPr>
            <w:tcW w:w="17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Revolution Industry, LLC</w:t>
            </w:r>
          </w:p>
        </w:tc>
        <w:tc>
          <w:tcPr>
            <w:tcW w:w="1780" w:type="dxa"/>
            <w:vAlign w:val="bottom"/>
            <w:gridSpan w:val="3"/>
            <w:shd w:val="clear" w:color="auto" w:fill="CCEEFF"/>
          </w:tcPr>
          <w:p>
            <w:pPr>
              <w:jc w:val="center"/>
              <w:ind w:right="250"/>
              <w:spacing w:after="0"/>
              <w:rPr>
                <w:sz w:val="20"/>
                <w:szCs w:val="20"/>
                <w:color w:val="auto"/>
              </w:rPr>
            </w:pPr>
            <w:r>
              <w:rPr>
                <w:rFonts w:ascii="Arial" w:cs="Arial" w:eastAsia="Arial" w:hAnsi="Arial"/>
                <w:sz w:val="18"/>
                <w:szCs w:val="18"/>
                <w:color w:val="auto"/>
                <w:w w:val="84"/>
              </w:rPr>
              <w:t>Trade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320" w:type="dxa"/>
            <w:vAlign w:val="bottom"/>
          </w:tcPr>
          <w:p>
            <w:pPr>
              <w:ind w:left="20"/>
              <w:spacing w:after="0"/>
              <w:rPr>
                <w:sz w:val="20"/>
                <w:szCs w:val="20"/>
                <w:color w:val="auto"/>
              </w:rPr>
            </w:pPr>
            <w:r>
              <w:rPr>
                <w:rFonts w:ascii="Arial" w:cs="Arial" w:eastAsia="Arial" w:hAnsi="Arial"/>
                <w:sz w:val="18"/>
                <w:szCs w:val="18"/>
                <w:color w:val="auto"/>
              </w:rPr>
              <w:t>(j)</w:t>
            </w:r>
          </w:p>
        </w:tc>
        <w:tc>
          <w:tcPr>
            <w:tcW w:w="6120" w:type="dxa"/>
            <w:vAlign w:val="bottom"/>
          </w:tcPr>
          <w:p>
            <w:pPr>
              <w:ind w:left="80"/>
              <w:spacing w:after="0"/>
              <w:rPr>
                <w:sz w:val="20"/>
                <w:szCs w:val="20"/>
                <w:color w:val="auto"/>
              </w:rPr>
            </w:pPr>
            <w:r>
              <w:rPr>
                <w:rFonts w:ascii="Arial" w:cs="Arial" w:eastAsia="Arial" w:hAnsi="Arial"/>
                <w:sz w:val="18"/>
                <w:szCs w:val="18"/>
                <w:color w:val="auto"/>
              </w:rPr>
              <w:t>UGO USA Inc.</w:t>
            </w:r>
          </w:p>
        </w:tc>
        <w:tc>
          <w:tcPr>
            <w:tcW w:w="17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Trade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320" w:type="dxa"/>
            <w:vAlign w:val="bottom"/>
            <w:shd w:val="clear" w:color="auto" w:fill="CCEEFF"/>
          </w:tcPr>
          <w:p>
            <w:pPr>
              <w:spacing w:after="0"/>
              <w:rPr>
                <w:sz w:val="19"/>
                <w:szCs w:val="19"/>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780" w:type="dxa"/>
            <w:vAlign w:val="bottom"/>
            <w:gridSpan w:val="3"/>
            <w:shd w:val="clear" w:color="auto" w:fill="CCEEFF"/>
          </w:tcPr>
          <w:p>
            <w:pPr>
              <w:jc w:val="center"/>
              <w:ind w:right="250"/>
              <w:spacing w:after="0"/>
              <w:rPr>
                <w:sz w:val="20"/>
                <w:szCs w:val="20"/>
                <w:color w:val="auto"/>
              </w:rPr>
            </w:pPr>
            <w:r>
              <w:rPr>
                <w:rFonts w:ascii="Arial" w:cs="Arial" w:eastAsia="Arial" w:hAnsi="Arial"/>
                <w:sz w:val="18"/>
                <w:szCs w:val="18"/>
                <w:color w:val="auto"/>
                <w:w w:val="84"/>
              </w:rPr>
              <w:t>Trade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320" w:type="dxa"/>
            <w:vAlign w:val="bottom"/>
          </w:tcPr>
          <w:p>
            <w:pPr>
              <w:spacing w:after="0"/>
              <w:rPr>
                <w:sz w:val="19"/>
                <w:szCs w:val="19"/>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w:t>
            </w:r>
          </w:p>
        </w:tc>
      </w:tr>
      <w:tr>
        <w:trPr>
          <w:trHeight w:val="20"/>
        </w:trPr>
        <w:tc>
          <w:tcPr>
            <w:tcW w:w="3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500" w:right="20" w:hanging="492"/>
        <w:spacing w:after="0" w:line="256" w:lineRule="auto"/>
        <w:tabs>
          <w:tab w:leader="none" w:pos="492"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14" w:lineRule="exact"/>
        <w:rPr>
          <w:rFonts w:ascii="Arial" w:cs="Arial" w:eastAsia="Arial" w:hAnsi="Arial"/>
          <w:sz w:val="14"/>
          <w:szCs w:val="14"/>
          <w:i w:val="1"/>
          <w:iCs w:val="1"/>
          <w:color w:val="auto"/>
        </w:rPr>
      </w:pPr>
    </w:p>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6" w:lineRule="exact"/>
        <w:rPr>
          <w:rFonts w:ascii="Arial" w:cs="Arial" w:eastAsia="Arial" w:hAnsi="Arial"/>
          <w:sz w:val="14"/>
          <w:szCs w:val="14"/>
          <w:i w:val="1"/>
          <w:iCs w:val="1"/>
          <w:color w:val="auto"/>
        </w:rPr>
      </w:pP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9" w:lineRule="exact"/>
        <w:rPr>
          <w:rFonts w:ascii="Arial" w:cs="Arial" w:eastAsia="Arial" w:hAnsi="Arial"/>
          <w:sz w:val="14"/>
          <w:szCs w:val="14"/>
          <w:i w:val="1"/>
          <w:iCs w:val="1"/>
          <w:color w:val="auto"/>
        </w:rPr>
      </w:pP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Jian Ming Ni, former Chief Financial Officer owns an equity interest in this entity.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jc w:val="both"/>
        <w:ind w:left="500" w:hanging="492"/>
        <w:spacing w:after="0" w:line="276" w:lineRule="auto"/>
        <w:tabs>
          <w:tab w:leader="none" w:pos="487"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Raymond Ni, one of Mr. Ni’s family members, owns an equity interest in this entity. On February 25, 2021, Han Feng executed an asset purchase agreement to acquire the machinery and equipment of Revolution Industry, LLC ("RIL"). Han Feng has acquired substantially all of the operating assets used or held for use in such business operation for the amount of $250,000 plus the original wholesale purchase value of all verified, useable cabbage and egg roll mix inventory of RIL. Advances due from RIL at the time of transaction were an offset to the purchase price paid to RIL. Going forward, Han Feng has taken the egg roll production business in house and ceased its vendor relationship with RIL.</w:t>
      </w:r>
    </w:p>
    <w:p>
      <w:pPr>
        <w:ind w:left="480" w:hanging="472"/>
        <w:spacing w:after="0"/>
        <w:tabs>
          <w:tab w:leader="none" w:pos="4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Services rendered by Hanfeng (Fujian) Information Technology Co. Ltd. relate to outsourced sales call center services. Fees for services are based on a percentage of sales generated as defined in the agreement. From time to time such services are subcontracted to Hanfeng Information Technologies (Jinhua),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Sales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sales to related parties recorded for the three months ended March 31, 2022 and 2021,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788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9"/>
                <w:szCs w:val="19"/>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74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Asahi Food, Inc.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Best Food Services, LLC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(d)</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Eagle Food Service, LLC</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Eastern Fresh NJ LLC</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(f)</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Enson Group, Inc. (formerly "Enson Group, LLC")</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Choice Seafood Inc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(h)</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Fortune One Foods, Inc.</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Heng Feng Food Services, Inc.</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(j)</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N&amp;F Logistics, Inc.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36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60" w:type="dxa"/>
            <w:vAlign w:val="bottom"/>
          </w:tcPr>
          <w:p>
            <w:pPr>
              <w:spacing w:after="0"/>
              <w:rPr>
                <w:sz w:val="19"/>
                <w:szCs w:val="19"/>
                <w:color w:val="auto"/>
              </w:rPr>
            </w:pP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w:t>
            </w:r>
          </w:p>
        </w:tc>
      </w:tr>
      <w:tr>
        <w:trPr>
          <w:trHeight w:val="21"/>
        </w:trPr>
        <w:tc>
          <w:tcPr>
            <w:tcW w:w="3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500" w:right="20" w:hanging="492"/>
        <w:spacing w:after="0" w:line="247" w:lineRule="auto"/>
        <w:tabs>
          <w:tab w:leader="none" w:pos="49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 through its subsidiary MF, owns an equity interest in this entity.</w:t>
      </w:r>
    </w:p>
    <w:p>
      <w:pPr>
        <w:spacing w:after="0" w:line="14" w:lineRule="exact"/>
        <w:rPr>
          <w:rFonts w:ascii="Arial" w:cs="Arial" w:eastAsia="Arial" w:hAnsi="Arial"/>
          <w:sz w:val="14"/>
          <w:szCs w:val="14"/>
          <w:i w:val="1"/>
          <w:iCs w:val="1"/>
          <w:color w:val="auto"/>
        </w:rPr>
      </w:pPr>
    </w:p>
    <w:p>
      <w:pPr>
        <w:ind w:left="500" w:hanging="492"/>
        <w:spacing w:after="0" w:line="261" w:lineRule="auto"/>
        <w:tabs>
          <w:tab w:leader="none" w:pos="49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Tina Ni, one of Mr. Ni’s family members, owns an equity interest in this entity indirectly through its parent company.</w:t>
      </w:r>
    </w:p>
    <w:p>
      <w:pPr>
        <w:spacing w:after="0" w:line="6" w:lineRule="exact"/>
        <w:rPr>
          <w:rFonts w:ascii="Arial" w:cs="Arial" w:eastAsia="Arial" w:hAnsi="Arial"/>
          <w:sz w:val="14"/>
          <w:szCs w:val="14"/>
          <w:i w:val="1"/>
          <w:iCs w:val="1"/>
          <w:color w:val="auto"/>
        </w:rPr>
      </w:pPr>
    </w:p>
    <w:p>
      <w:pPr>
        <w:ind w:left="500" w:hanging="492"/>
        <w:spacing w:after="0"/>
        <w:tabs>
          <w:tab w:leader="none" w:pos="50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9" w:lineRule="exact"/>
        <w:rPr>
          <w:rFonts w:ascii="Arial" w:cs="Arial" w:eastAsia="Arial" w:hAnsi="Arial"/>
          <w:sz w:val="14"/>
          <w:szCs w:val="14"/>
          <w:i w:val="1"/>
          <w:iCs w:val="1"/>
          <w:color w:val="auto"/>
        </w:rPr>
      </w:pP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6" w:lineRule="exact"/>
        <w:rPr>
          <w:rFonts w:ascii="Arial" w:cs="Arial" w:eastAsia="Arial" w:hAnsi="Arial"/>
          <w:sz w:val="14"/>
          <w:szCs w:val="14"/>
          <w:i w:val="1"/>
          <w:iCs w:val="1"/>
          <w:color w:val="auto"/>
        </w:rPr>
      </w:pPr>
    </w:p>
    <w:p>
      <w:pPr>
        <w:ind w:left="480" w:hanging="472"/>
        <w:spacing w:after="0"/>
        <w:tabs>
          <w:tab w:leader="none" w:pos="4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Lease agreements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various facilities to related parties.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leased a facility to UGO USA Inc. under an operating lease agreement which was mutually terminated by both parties effective April 1, 2021. No rental income was recorded for the three months ended March 31, 2022. Rental income was $7,000 for the three months ended March 31, 2021, which is included in other income in the unaudited condensed consolidated statements of income and comprehensive income.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leased a facility to iUnited Services, LLC ("iUnited"), which has been determined to be a related party due to the equity ownership interest in iUnited of Mr. Jian Ming Ni, the Company's former Chief Financial Officer. The lease agreement was terminated in connection with the sale of the facility on November 3, 2021. The building and related land was sold to iUnited for $1.5 million and a gain of $0.8 million. Rental income for the three months ended March 31, 2021 was $15,000, which is included in other income in the consolidated statements of income and comprehensive income.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leased a production area to Revolution Industry, LLC under a month-to-month lease agreement. This lease agreement was terminated as a result of the asset purchase agreement executed on February 25, 2021. No rental income was recorded for the three months ended March 31, 2022. Rental income was $6,000 for the three months ended March 31, 2021, which is included in other income in the unaudited condensed consolidated statements of income and comprehensive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The Company leases a warehouse to Enson Seafood GA Inc. (formerly “GA-GW Seafood, Inc.”) under an operating lease agreement expiring on September 21, 2027. Rental income for the three months ended March 31, 2022 and 2021 was $80,000 and $120,000, respectively, which is included in other income in the unaudited condensed consolidated statements of income and comprehensive income. Subsequent to March 31, 2022, on May 18, 2022, the Company sold the warehouse to Enson Seafood GA Inc. for approximately $7.2 million, recognized a gain of $1.5 million and used a portion of the proceeds to pay the outstanding balance of the Company's $4.5 million loan with First Horizon Bank.</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2020, the Company renewed a warehouse lease from Yoan Chang Trading Inc. ("Yoan") under an operating lease agreement expiring on December 31, 2020. In February 2021, the Company executed a new 5-year operating lease agreement with Yoan effective January 1, 2021 and expiring on December 31,</w:t>
      </w:r>
    </w:p>
    <w:p>
      <w:pPr>
        <w:jc w:val="both"/>
        <w:spacing w:after="0" w:line="260" w:lineRule="auto"/>
        <w:rPr>
          <w:sz w:val="20"/>
          <w:szCs w:val="20"/>
          <w:color w:val="auto"/>
        </w:rPr>
      </w:pPr>
      <w:r>
        <w:rPr>
          <w:rFonts w:ascii="Arial" w:cs="Arial" w:eastAsia="Arial" w:hAnsi="Arial"/>
          <w:sz w:val="18"/>
          <w:szCs w:val="18"/>
          <w:color w:val="auto"/>
        </w:rPr>
        <w:t>2025. Rent incurred was $72,000 and $77,000 for the three months ended March 31, 2022 and 2021, respectively, and is included in distribution, selling and administrative expenses in the unaudited condensed consolidated statements of income and comprehensive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Balances</w:t>
      </w:r>
    </w:p>
    <w:p>
      <w:pPr>
        <w:spacing w:after="0" w:line="20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 related parties,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accounts receivable with related parties recorded as of March 31, 2022 and December 31, 2021,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Asahi Food, Inc.</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Best Food Services, LLC</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(d)</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Eagle Food Service, LLC</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Enson Seafood GA, Inc. (formerly “GA-GW Seafood, Inc.”)</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(f)</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Fortune One Foods, Inc.</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Heng Feng Food Services, Inc.</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(h)</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North Carolina Good Taste Noodle, Inc.</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6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60" w:type="dxa"/>
            <w:vAlign w:val="bottom"/>
          </w:tcPr>
          <w:p>
            <w:pPr>
              <w:spacing w:after="0"/>
              <w:rPr>
                <w:sz w:val="19"/>
                <w:szCs w:val="19"/>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1"/>
        </w:trPr>
        <w:tc>
          <w:tcPr>
            <w:tcW w:w="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500" w:right="20" w:hanging="492"/>
        <w:spacing w:after="0" w:line="247" w:lineRule="auto"/>
        <w:tabs>
          <w:tab w:leader="none" w:pos="49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 through its subsidiary MF, owns an equity interest in this entity.</w:t>
      </w:r>
    </w:p>
    <w:p>
      <w:pPr>
        <w:spacing w:after="0" w:line="14" w:lineRule="exact"/>
        <w:rPr>
          <w:rFonts w:ascii="Arial" w:cs="Arial" w:eastAsia="Arial" w:hAnsi="Arial"/>
          <w:sz w:val="14"/>
          <w:szCs w:val="14"/>
          <w:i w:val="1"/>
          <w:iCs w:val="1"/>
          <w:color w:val="auto"/>
        </w:rPr>
      </w:pPr>
    </w:p>
    <w:p>
      <w:pPr>
        <w:ind w:left="500" w:hanging="492"/>
        <w:spacing w:after="0" w:line="261" w:lineRule="auto"/>
        <w:tabs>
          <w:tab w:leader="none" w:pos="49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Tina Ni, one of Mr. Ni’s family members, owns an equity interest in this entity indirectly through its parent company.</w:t>
      </w:r>
    </w:p>
    <w:p>
      <w:pPr>
        <w:spacing w:after="0" w:line="6" w:lineRule="exact"/>
        <w:rPr>
          <w:rFonts w:ascii="Arial" w:cs="Arial" w:eastAsia="Arial" w:hAnsi="Arial"/>
          <w:sz w:val="14"/>
          <w:szCs w:val="14"/>
          <w:i w:val="1"/>
          <w:iCs w:val="1"/>
          <w:color w:val="auto"/>
        </w:rPr>
      </w:pPr>
    </w:p>
    <w:p>
      <w:pPr>
        <w:ind w:left="500" w:hanging="492"/>
        <w:spacing w:after="0"/>
        <w:tabs>
          <w:tab w:leader="none" w:pos="5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9" w:lineRule="exact"/>
        <w:rPr>
          <w:rFonts w:ascii="Arial" w:cs="Arial" w:eastAsia="Arial" w:hAnsi="Arial"/>
          <w:sz w:val="14"/>
          <w:szCs w:val="14"/>
          <w:i w:val="1"/>
          <w:iCs w:val="1"/>
          <w:color w:val="auto"/>
        </w:rPr>
      </w:pP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Mr. Jian Ming Ni, former Chief Financial Officer owns an equity interest in this entity.</w:t>
      </w: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accounts receivable from these related parties are current and considered fully collectible. No allowance is deemed necessary as of March 31, 2022 and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Accounts payable - related parties, net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the accounts payable to related parties are payable upon demand without interest. Below is a summary of accounts payable with related parties recorded as of March 31, 2022 and December 31,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Eastern Fresh NJ, LLC</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Choice Seafood Inc</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(d)</w:t>
            </w: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Fujian RongFeng Plastic Co., Ltd</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North Carolina Good Taste Noodle, Inc.</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36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500" w:right="20" w:hanging="492"/>
        <w:spacing w:after="0" w:line="247" w:lineRule="auto"/>
        <w:tabs>
          <w:tab w:leader="none" w:pos="492"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w:t>
      </w:r>
    </w:p>
    <w:p>
      <w:pPr>
        <w:spacing w:after="0" w:line="14" w:lineRule="exact"/>
        <w:rPr>
          <w:rFonts w:ascii="Arial" w:cs="Arial" w:eastAsia="Arial" w:hAnsi="Arial"/>
          <w:sz w:val="14"/>
          <w:szCs w:val="14"/>
          <w:i w:val="1"/>
          <w:iCs w:val="1"/>
          <w:color w:val="auto"/>
        </w:rPr>
      </w:pPr>
    </w:p>
    <w:p>
      <w:pPr>
        <w:ind w:left="500" w:hanging="492"/>
        <w:spacing w:after="0"/>
        <w:tabs>
          <w:tab w:leader="none" w:pos="50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14" w:lineRule="exact"/>
        <w:rPr>
          <w:rFonts w:ascii="Arial" w:cs="Arial" w:eastAsia="Arial" w:hAnsi="Arial"/>
          <w:sz w:val="14"/>
          <w:szCs w:val="14"/>
          <w:i w:val="1"/>
          <w:iCs w:val="1"/>
          <w:color w:val="auto"/>
        </w:rPr>
      </w:pPr>
    </w:p>
    <w:p>
      <w:pPr>
        <w:ind w:left="480" w:hanging="472"/>
        <w:spacing w:after="0"/>
        <w:tabs>
          <w:tab w:leader="none" w:pos="48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Mr. Ni owns an equity interest in this entity indirectly through its parent company.</w:t>
      </w:r>
    </w:p>
    <w:p>
      <w:pPr>
        <w:spacing w:after="0" w:line="14" w:lineRule="exact"/>
        <w:rPr>
          <w:rFonts w:ascii="Arial" w:cs="Arial" w:eastAsia="Arial" w:hAnsi="Arial"/>
          <w:sz w:val="14"/>
          <w:szCs w:val="14"/>
          <w:i w:val="1"/>
          <w:iCs w:val="1"/>
          <w:color w:val="auto"/>
        </w:rPr>
      </w:pPr>
    </w:p>
    <w:p>
      <w:pPr>
        <w:ind w:left="500" w:hanging="492"/>
        <w:spacing w:after="0"/>
        <w:tabs>
          <w:tab w:leader="none" w:pos="50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Mr. Jian Ming Ni, former Chief Financial Officer owns an equity interest in this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Advances to suppliers - related parties,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provides purchase advances to various vendors, including the related party suppliers. There were no advances to related party suppliers recorded as of March 31, 2022 and December 31, 2021.</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Promissory note payable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issued a $7.0 million Unsecured Subordinated Promissory Note to BRGR (a related party via ownership by certain shareholders of the Company, and a former VIE through 2020) in January 2020 as part of the payment for the acquisition of BRGR. The note matures in January 2030 and carries a fixed interest rate of 6% per annum. There is no requirement to make principal repayments until maturity. There is no prepayment penalty should the Company elect to prepay the principal prior to maturity, subject to meeting certain repayment provisions as defined in the JPM Credit Agreement. As of March 31, 2022, the outstanding balance was $4.5 million and there was no accrued interest payable. No principal payment was made for the three months ended March 31, 2022 and 2021. Interest payments paid were $68,000 and $101,000 for the three months ended March 31, 2022 and 2021, respectively. Subsequent to March 31, 2022, during the three months ended June 30, 2022, the Company paid the remaining $4.5 million of its related party promissory note payable.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2021, the Company began issuing awards under the HF Foods Group Inc. 2018 Omnibus Equity Incentive Plan (the “2018 Incentive Plan”), which reserves up to 3,000,000 shares of the Company's common stock for issuance of awards to employees, non-employee directors and consultants. As of March 31, 2022, the Company had 356,340 time-based vesting restricted stock units (“RSUs”) outstanding, 143,277 performance-based restricted stock units (“PSUs”) outstanding, and 2,500,383 shares remaining available for future awards under the 2018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stock-based compensation expense was $0.3 million and was included in distribution, selling and administrative expenses in the Company's unaudited condensed consolidated statements of income and comprehensive income. No stock-based compensation expense was recognized for three months ended March 31, 2021.</w:t>
      </w: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2022, there was $1.7 million of total unrecognized compensation cost related to all non-vested outstanding RSUs and PSUs outstanding under the 2018 Incentive Plan, with a weighted average remaining service period of 2.16 years.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the Company’s pending litigation and revises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20, 2022, the Board of Directors of HF Group received a letter from a purported stockholder, James Bishop (the “Bishop Demand”). The Bishop Demand alleges that certain current and former officers and directors of HF Group engaged in misconduct and breached their fiduciary duties, and demands that HF Group investigate the allegations and, if warranted, assert claims against those current or former officers and directors. Many of the allegations contained in the Bishop Demand were the subject of a shareholder derivative action that Bishop filed in August 2020 (the “Bishop Derivative Action”). On November 24, 2021, after the United States District Court for the Central District of California dismissed with prejudice a related securities class action, captioned Mendoza v. HF Foods Group Inc. et al., the Bishop Derivative Action was voluntarily dismissed without prejudice.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19, 2022, James Bishop filed a verified stockholder derivative complaint in the Court of Chancery of the State of Delaware (the “Delaware Action”),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Special Litigation Committee is in the process of analyzing and evaluating the claims alleged in the Bishop Demand and Delaware Action, and has not determined whether any claims should be asserted or the probability of recovery for such claims.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addition, the SEC initiated a formal, non-public investigation of the Company, and the SEC informally requested, and later issued a subpoena for, documents and other information. The subpoena relates to but is not necessarily limited to the matters identified in the two putative class actions which</w:t>
      </w:r>
    </w:p>
    <w:p>
      <w:pPr>
        <w:spacing w:after="0" w:line="257" w:lineRule="auto"/>
        <w:rPr>
          <w:sz w:val="20"/>
          <w:szCs w:val="20"/>
          <w:color w:val="auto"/>
        </w:rPr>
      </w:pPr>
      <w:r>
        <w:rPr>
          <w:rFonts w:ascii="Arial" w:cs="Arial" w:eastAsia="Arial" w:hAnsi="Arial"/>
          <w:sz w:val="18"/>
          <w:szCs w:val="18"/>
          <w:color w:val="auto"/>
        </w:rPr>
        <w:t>were subsequently dismissed. The Special Investigation Committee and the Company are cooperating with the SEC. While the SEC investigation is ongoing, the Special Investigation Committee has made certain factual findings based on evidence adduced during the investigation and made recommendations to management regarding improvements to Company operations and structure, including but not limited to its dealings with related parties. The Company is working to implement those improvements. See the Company's 2021 Annual Report for additional information on the findings of the Special Investigation Committee.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with any SEC investigation, there is also the possibility of potential fines and penalties. At this time, however, there has not been any demand made by the SEC nor is it possible to estimate the amount of any such fines and penalties should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AnHeart Lease Guarantee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3 - Variable Interest Entities</w:t>
      </w:r>
      <w:r>
        <w:rPr>
          <w:rFonts w:ascii="Arial" w:cs="Arial" w:eastAsia="Arial" w:hAnsi="Arial"/>
          <w:sz w:val="18"/>
          <w:szCs w:val="18"/>
          <w:color w:val="auto"/>
        </w:rPr>
        <w:t>, the Company provided a guarantee for two separate leases for two properties located in Manhattan, New York, at 273 Fifth Avenue and 275 Fifth Avenue, for 30 years and 15 years, respectively.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Lease Agreement, as amended, including the payment of all rents due. Under the terms of the 273 Lease Agreement and the Assignment, the Company has undertaken to construct, at its own expense, a building on the premises at a minimum cost of $2.5 million. The Lease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Amendment permits subletting of the premises, and the Company intends to sublease the newly constructed premises to defray the rental expense undertaken pursuant to its guaranty obligations.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While the case remains pending in New York, the Company is not actively litigating the claim.</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accordance with ASC 460, </w:t>
      </w:r>
      <w:r>
        <w:rPr>
          <w:rFonts w:ascii="Arial" w:cs="Arial" w:eastAsia="Arial" w:hAnsi="Arial"/>
          <w:sz w:val="16"/>
          <w:szCs w:val="16"/>
          <w:i w:val="1"/>
          <w:iCs w:val="1"/>
          <w:color w:val="auto"/>
        </w:rPr>
        <w:t>Guarantees</w:t>
      </w:r>
      <w:r>
        <w:rPr>
          <w:rFonts w:ascii="Arial" w:cs="Arial" w:eastAsia="Arial" w:hAnsi="Arial"/>
          <w:sz w:val="16"/>
          <w:szCs w:val="16"/>
          <w:color w:val="auto"/>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During the three months ended March 31, 2022, the Company recorded a one-time lease guarantee liability of $5.9 million, The Company determined the discounted value of the lease guarantee liability was $5.9 million as of March 31, 2022 using a discount rate of 4.55% and is classified as Level 2 in the fair value hierarchy. The current portion of the lease guarantee liability of $0.3 million is recorded in Accrued expenses and other liabilities on the condensed consolidated balance sheet. The Company's monthly rental payments, which commenced during the three months ended March 31, 2022, range from approximately $42,000 per month to $63,000 per month, with the final payment due in 2034.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The estimated future minimum lease payments as of March 31, 2022 are presented below:</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w:t>
            </w:r>
          </w:p>
        </w:tc>
      </w:tr>
      <w:tr>
        <w:trPr>
          <w:trHeight w:val="244"/>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2022 (remaining nine months)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37"/>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7,847</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64"/>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w:t>
            </w:r>
          </w:p>
        </w:tc>
      </w:tr>
      <w:tr>
        <w:trPr>
          <w:trHeight w:val="20"/>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7 - Acquisitions</w:t>
      </w:r>
      <w:r>
        <w:rPr>
          <w:rFonts w:ascii="Arial" w:cs="Arial" w:eastAsia="Arial" w:hAnsi="Arial"/>
          <w:sz w:val="18"/>
          <w:szCs w:val="18"/>
          <w:color w:val="auto"/>
        </w:rPr>
        <w:t xml:space="preserve">, regarding the Sealand Acquisition,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regarding the amendment of the Company's JPM Credit Agreement as well as a waiver, and </w:t>
      </w:r>
      <w:r>
        <w:rPr>
          <w:rFonts w:ascii="Arial" w:cs="Arial" w:eastAsia="Arial" w:hAnsi="Arial"/>
          <w:sz w:val="18"/>
          <w:szCs w:val="18"/>
          <w:i w:val="1"/>
          <w:iCs w:val="1"/>
          <w:color w:val="auto"/>
        </w:rPr>
        <w:t>Note 13 - Related Party Transactions</w:t>
      </w:r>
      <w:r>
        <w:rPr>
          <w:rFonts w:ascii="Arial" w:cs="Arial" w:eastAsia="Arial" w:hAnsi="Arial"/>
          <w:sz w:val="18"/>
          <w:szCs w:val="18"/>
          <w:color w:val="auto"/>
        </w:rPr>
        <w:t>, regarding the related party promissory note payable as well as the Company's related party sale of a warehouse for subsequent events.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statements other than statements of historical fact included in this Quarterly Report on Form 10-Q including, without limitation, statements under this “Management’s Discussion and Analysis of Financial Condition and Results of Operations” regarding our financial position, business strategy and the plans and objectives of management for future operations, are forward-looking statements. When used in this Quarterly Report on Form 10-Q, words such as “anticipate,” “believe,” “continue,” “could,” “estimate,” “expect,” “intend,” “may,” “ongoing,” “plan,” “possible,” “potential,” “predict,” “project,” “will” and similar expressions, as they relate to us or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forward-looking statements as a result of certain factors detailed in our filings with the Securities and Exchange Commission (“SEC”). All subsequent written or oral forward-looking statements attributable to us or persons acting on our behalf are qualified in their entirety by this paragraph. All forward-looking statements are subject to risks and uncertainties that could cause actual results and events to differ materially from those included in forward-looking statements. Important factors that could cause actual results to differ materially from our expectations, or cautionary statements, include without limitation:</w:t>
      </w:r>
    </w:p>
    <w:p>
      <w:pPr>
        <w:spacing w:after="0" w:line="2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COVID-19 pandemic or other pandemics;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 margins in the foodservice distribution industry and periods of significant or prolonged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labor shortages;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macroeconomic conditions in the United States;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foodservice distribution industry particularly the entry of new competitors into the Chinese/Asian restaurant supply market niche;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fuel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relationships with vendors and increases in product prices;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Dependency on the timely delivery of products from vendors, particularly the prolonged diminution of global supply chains;</w:t>
      </w:r>
    </w:p>
    <w:p>
      <w:pPr>
        <w:spacing w:after="0" w:line="49" w:lineRule="exact"/>
        <w:rPr>
          <w:rFonts w:ascii="Arial" w:cs="Arial" w:eastAsia="Arial" w:hAnsi="Arial"/>
          <w:sz w:val="18"/>
          <w:szCs w:val="18"/>
          <w:color w:val="auto"/>
        </w:rPr>
      </w:pPr>
    </w:p>
    <w:p>
      <w:pPr>
        <w:ind w:left="660" w:right="240" w:hanging="328"/>
        <w:spacing w:after="0" w:line="27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has been affected and may in the future be affected by the COVID-19 pandemic and the steps taken by the Chinese government to address the pandemic;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relationships with or loss of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eating and dining out habits;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party transactions and possible conflicts of interests;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parties and variable interest entities consolidation;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or replace our current warehouse leases on favorable terms, or terminations prior to expiration of stated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our senior management and other key personnel, particularly our CEO, COO, CFO and CCO/General Counsel;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train and retain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and enforcement of immigration laws;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various federal, state and local rules and regulations regarding food safety, sanitation, transportation, minimum wage, overtime and other health and safety laws;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comply with environmental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commodity prices;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tariffs on products imported into the United States, particularly from China;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weather, natural disasters and adverse climate change;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geopolitical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cyber security incident, other technology disruption or delay in implementing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indebtedness affecting our liquidity and ability of future financing;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acquire other distributors or wholesalers and enlarge our customer base could negatively impact our results of operations and financial condition;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Scarcity of and competition for acquisition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acquisition financing;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non-cash charges relating to the amortization of intangible assets related to material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acquisition candidates;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debt in order to successfully implement our acquisition strategy;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operations, personnel, and assets of acquired businesses that may disrupt our business, dilute stockholder value, and adversely affect our operating results;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regain compliance with Securities Exchange Act of 1934 reporting requirements;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an active trading market for our common stock.</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Factors that might cause or contribute to such differences include, but are not limited to, those contained in Item 1A. Risk Factors in our Annual Report on Form 10-K for the year ended December 31, 2021, filed with the SEC. We assume no obligation to revise or publicly release any revision to any forward-looking statements contained in this Quarterly Report on Form 10-Q, unless required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Background and Overview</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industry participants, HF Foods Group Inc. and B&amp;R Global.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30, 2021, HF Group acquired the Great Wall Group, a seafood supplier, resulting in the addition of three distribution centers, located in Illinois and Texas (the “Great Wall Acquisition”).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March 31, 2022, 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7 - Acquisitions</w:t>
      </w:r>
      <w:r>
        <w:rPr>
          <w:rFonts w:ascii="Arial" w:cs="Arial" w:eastAsia="Arial" w:hAnsi="Arial"/>
          <w:sz w:val="18"/>
          <w:szCs w:val="18"/>
          <w:color w:val="auto"/>
        </w:rPr>
        <w:t xml:space="preserve"> for additional information regarding recent acquisitions.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Capitalizing on our institutional understanding of the Chinese culture, our over 1,000 employees and subcontractors and our support from two outsourced call centers in China, we serve over 15,000 Asian restaurants in 46 states with 18 distribution centers strategically located throughout the nation, providing round-the-clock sales and service support to customers who mainly converse in Mandarin or other Chinese dialects. We are dedicated to serving the vast array of Asian and Chinese restaurants in need of high-quality and specialized food ingredients at competitive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market leader in servicing the Asian/Chinese restaurant sector, we are well-positioned for long-term success. The fragmented nature of the Asian/Chinese foodservice industry and the current environment creates opportunities for a company that has the necessary expertise and a comprehensive cultural understanding of this unique customer base. We believe we are differentiated from our competitors given our extensive footprint, strong vendor and customer relationships, and value-added service offerings, all of which have allowed and will continue to allow us to better serve our customers in these unprecedented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net revenue for the three months ended March 31, 2022 was $278.2 million, an increase of $118.8 million, or 74.6%, from $159.4 million for the three months ended March 31, 2021. Net income attributable to our shareholders for the three months ended March 31, 2022 was $3.1 million, compared to net income attributable to our shareholders of $1.4 million for the three months ended March 31, 2021. Adjusted EBITDA for the three months ended March 31, 2022 was $17.9 million, an increase of $11.4 million, or 175.4%, from $6.5 million for the three months ended March 31, 2021.</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non-GAAP financial measures, EBITDA and Adjusted EBITDA, see the section entitled “EBITDA and Adjusted EBITDA”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devastating impact of the COVID-19 pandemic seen in 2020 has generally subsided. Our net revenue for the fiscal year ended December 31, 2021 recovered to 96% of pre-COVID-19 pandemic levels. Based on current sales volumes and adjusted cost structures, we continue to generate positive operating cash flows on a weekly basis and do not have immediate liquidity concerns. We remain optimistic with regards to the long-term prospects for our business although the extent to which the COVID-19 pandemic will impact our financial condition or results of operations is uncertain and will depend on future developments including new information that may emerge on the severity or transmissibility of the disease, new variants, government responses, trends in infection rates, development and distribution of effective medical treatments and vaccines, and future consumer spending behavior, among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Assess HF Group’s Performance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Selling and Administrative Expenses</w:t>
      </w:r>
    </w:p>
    <w:p>
      <w:pPr>
        <w:spacing w:after="0" w:line="11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spacing w:after="0" w:line="68"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Management uses EBITDA to measure operating performance, defined as net income before interest expense,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6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spacing w:after="0" w:line="57"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excludes certain tax payments that may represent a reduction in cash available to the Company;</w:t>
      </w:r>
    </w:p>
    <w:p>
      <w:pPr>
        <w:spacing w:after="0" w:line="117" w:lineRule="exact"/>
        <w:rPr>
          <w:rFonts w:ascii="Arial" w:cs="Arial" w:eastAsia="Arial" w:hAnsi="Arial"/>
          <w:sz w:val="18"/>
          <w:szCs w:val="18"/>
          <w:b w:val="1"/>
          <w:bCs w:val="1"/>
          <w:color w:val="auto"/>
        </w:rPr>
      </w:pPr>
    </w:p>
    <w:p>
      <w:pPr>
        <w:ind w:left="1300" w:right="20" w:hanging="482"/>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reflect any cash capital expenditure requirements for the assets being depreciated and amortized that may have to be replaced in the future;</w:t>
      </w:r>
    </w:p>
    <w:p>
      <w:pPr>
        <w:spacing w:after="0" w:line="62" w:lineRule="exact"/>
        <w:rPr>
          <w:rFonts w:ascii="Arial" w:cs="Arial" w:eastAsia="Arial" w:hAnsi="Arial"/>
          <w:sz w:val="18"/>
          <w:szCs w:val="18"/>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reflect changes in, or cash requirements for, our working capital needs;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reflect the significant interest expense, or the cash requirements, necessary to service our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on EBITDA and Adjusted EBITDA, see the table entitled “EBITDA and Adjusted EBITDA” below.</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 summary of our consolidated results of operations for the three months ended March 31, 2022 and 2021. The historical results presented below are not necessarily indicative of the results that may be expected for any future period.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0"/>
                <w:szCs w:val="20"/>
                <w:color w:val="auto"/>
              </w:rPr>
            </w:pPr>
          </w:p>
        </w:tc>
        <w:tc>
          <w:tcPr>
            <w:tcW w:w="1700" w:type="dxa"/>
            <w:vAlign w:val="bottom"/>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74.6 %</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75.1 %</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selling and administrative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43.9 %</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41.7 %</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interest rate swap contracts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guarantee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Income before income tax provision</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84.2 %</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89.4 %</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Net income attributable to HF Foods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129.3 %</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consolidated results of operations expressed as a percentage of net revenue for the periods indicated: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Distribution,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Change in fair value of 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guarantee expense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provision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income attributable to noncontrolling interests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HF Foods Group Inc.</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50"/>
        </w:trPr>
        <w:tc>
          <w:tcPr>
            <w:tcW w:w="17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81.8 %</w:t>
            </w:r>
          </w:p>
        </w:tc>
        <w:tc>
          <w:tcPr>
            <w:tcW w:w="100" w:type="dxa"/>
            <w:vAlign w:val="bottom"/>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81.5 %</w:t>
            </w:r>
          </w:p>
        </w:tc>
      </w:tr>
      <w:tr>
        <w:trPr>
          <w:trHeight w:val="237"/>
        </w:trPr>
        <w:tc>
          <w:tcPr>
            <w:tcW w:w="174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97"/>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r>
      <w:tr>
        <w:trPr>
          <w:trHeight w:val="237"/>
        </w:trPr>
        <w:tc>
          <w:tcPr>
            <w:tcW w:w="17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97"/>
        </w:trPr>
        <w:tc>
          <w:tcPr>
            <w:tcW w:w="17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0"/>
        </w:trPr>
        <w:tc>
          <w:tcPr>
            <w:tcW w:w="17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17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17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6"/>
        </w:trPr>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97"/>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37"/>
        </w:trPr>
        <w:tc>
          <w:tcPr>
            <w:tcW w:w="17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97"/>
        </w:trPr>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6"/>
        </w:trPr>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560"/>
          </w:cols>
          <w:pgMar w:left="320" w:top="1003"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 for the three months ended March 31, 2022 increased by $118.8 million or 74.6% compared to the same period in 2021. The increase was primarily due to the easing of COVID-19-related restrictions in 2022 that resulted in more dine-in business for our customers and an increase in overall foot traffic to restaurants, as well as the additional revenue generated due to the Great Wall Acquisition and overall product cost inflation. The Great Wall Acquisition, which shifted our product mix to higher Seafood sales compared to the same period in 2021, contributed $47.9 million and organic growth contributed the remaining $70.9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for the three months ended March 31, 2022 increased by $21.3 million or 72.4%, compared to the same period in 2021 mainly due to strong revenue growth and the Great Wall Acquisition, which contributed $6.1 million of gross profit for the three months ended March 31, 2022. Overall gross margin decreased from 18.5% in the three months ended March 31, 2021 to 18.2% in the three months ended March 31, 2022, primarily due to the expected lower gross margin on our increased Seafood sales, offset by increased gross margin due to organic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Selling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Distribution, selling and administrative expenses for the three months ended March 31, 2022 increased by $12.3 million, or 43.9%, to $40.4 million compared to $28.1 million for the three months ended March 31, 2021. Of the distribution, selling and administrative expenses increase, $9.9 million primarily resulted from payroll and related labor costs, inclusive of the additional costs due to the Great Wall Acquisition, as more workers were, and will continue to be, required to handle the increasing sales demand and $1.1 million was in delivery related cost primarily driven by increasing fuel prices and revenue growth. Distribution, selling and administrative expenses as a percentage of net revenue improved from 17.6% in 2021 to 14.5% in 2022 primarily due to strong revenue growth and fixed cost leverage.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three months ended March 31, 2022 increased by $0.4 million, or 41.7%, compared to the same period in 2021 mainly due to higher utilization of the line of credit. Our average daily line of credit balance increased by $48.2 million, or 300.0%, to $64.3 million for the three months ended March 31, 2022 from $16.1 million for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provision for income taxes increased by $0.5 million, or 70.9%, from $0.6 million for the three months ended March 31, 2021 to $1.1 million for the three months ended March 31, 2022 mainly due to increasing income before tax, resulting from business expansion and our improved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HF Foods Group Inc.</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Net income attributable to HF Foods Group Inc. was $3.1 million for the three months ended March 31, 2022, compared to $1.4 million for the three months ended March 31, 2021. The year over year change in net income attributable to HF Foods Group Inc. increased $1.8 million, or approximately 129.3% compared to the three months ended March 31, 2021. The strong upward-trend is attributable to increased consumer demand for dine-in/take-out meals as COVID-19 restrictions eased in 2022, thereby prompting restaurants to replenish products more frequently, partially offset by a one-time lease guarantee expense of $5.9 million (see </w:t>
      </w:r>
      <w:r>
        <w:rPr>
          <w:rFonts w:ascii="Arial" w:cs="Arial" w:eastAsia="Arial" w:hAnsi="Arial"/>
          <w:sz w:val="17"/>
          <w:szCs w:val="17"/>
          <w:i w:val="1"/>
          <w:iCs w:val="1"/>
          <w:color w:val="auto"/>
        </w:rPr>
        <w:t>Note 15 - Commitments and Contingencies</w:t>
      </w:r>
      <w:r>
        <w:rPr>
          <w:rFonts w:ascii="Arial" w:cs="Arial" w:eastAsia="Arial" w:hAnsi="Arial"/>
          <w:sz w:val="17"/>
          <w:szCs w:val="17"/>
          <w:color w:val="auto"/>
        </w:rPr>
        <w:t xml:space="preserve"> for additional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EBITDA and Adjusted EBITDA, and reconciliation to net income, the closest GAAP measure: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3,140</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41.7 %</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22.2 %</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Lease guarantee expense</w:t>
            </w:r>
          </w:p>
        </w:tc>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 contracts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17,913</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175.4 %</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1"/>
        </w:trPr>
        <w:tc>
          <w:tcPr>
            <w:tcW w:w="4620" w:type="dxa"/>
            <w:vAlign w:val="bottom"/>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EBITDA was $17.9 million for the three months ended March 31, 2022, an increase of $11.4 million, or 175.4%, compared to $6.5 million for the three months ended March 31, 2021. The $11.4 million increase in Adjusted EBITDA was primarily attributable to our strong business recovery to pre-COVID-19 pandemic levels and an improvement of distribution, selling and administrative expenses from 17.6% of net revenue in 2021 to 14.5% in 2022.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2022, we had cash of approximately $16.4 million, checks issued not presented for payment of $18.5 million and access to approximately $31.6 million in additional funds through our $100.0 million line of credit, subject to a borrowing base calculation. We have funded working capital and other capital requirements primarily by cash flow from operations and our line of credit. Cash is required to pay purchase costs for inventory, salaries, fuel and trucking expenses, selling expenses, rental expenses, income taxes, other operating expenses and to service debts.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current sales volume, which has been increasing steadily quarter-on-quarter since the outbreak of COVID-19 in the first half of 2020, we believe that our cash flow generated from operations is sufficient to meet our normal working capital needs and debt obligations for at least the next twelve months. However, our ability to repay our current obligations will depend on the future realization of our current assets. Management has taken into consideration historical experience, general economic trends in the United States, and trends in the foodservice distribution industry to determine the expected collectability of accounts receivable and the realization of inventories as of March 31, 2022. On March 31, 2022, we amended the Credit Agreement with J.P. Morgan extending our line of credit for 5 years. The amendment provides for a $100.0 million asset-secured revolving credit facility with a 1-month SOFR plus a credit adjustment of 0.1% plus 1.375% per annum. In April of 2022, the $46.0 million increase to the mortgage-secured term loan was used to pay down our $100.0 million line of credit. We also received a waiver through January 31, 2023 related to the timing of our filing of our 2021 audited financial statements.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29, 2022, we completed the Sealand Acquisition for cash consideration of $20.0 million plus approximately $14.4 million of inventory. We financed the Sealand Acquisition through our $100.0 million line of credit.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2022, we sold a warehouse to a related party for approximately $7.2 million and used a portion of the proceeds to pay the outstanding balance of our $4.5 million loan with First Horizon Bank. We also paid the remaining $4.5 million of our related party promissory note payable.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7"/>
          <w:szCs w:val="17"/>
          <w:color w:val="auto"/>
        </w:rPr>
        <w:t>Based on the above considerations, 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government intervention in response to a potential resurgence of COVID-19,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2022, we have no off 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data for the three months ended March 31,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162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22"/>
                <w:szCs w:val="22"/>
                <w:color w:val="auto"/>
              </w:rPr>
            </w:pPr>
          </w:p>
        </w:tc>
        <w:tc>
          <w:tcPr>
            <w:tcW w:w="1320" w:type="dxa"/>
            <w:vAlign w:val="bottom"/>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rPr>
              <w:t>%</w:t>
            </w:r>
          </w:p>
        </w:tc>
      </w:tr>
      <w:tr>
        <w:trPr>
          <w:trHeight w:val="25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(8.1)%</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NM</w:t>
            </w: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NM</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color w:val="auto"/>
                <w:w w:val="94"/>
              </w:rPr>
              <w:t>(2.4)%</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provided by operating activities was $10.1 million for the three months ended March 31, 2022, compared to $11.0 million for the three months ended March 31, 2021, a decrease of $0.9 million, as a result of changes in working capital items primarily due to two factors: (a) Our accounts receivable balance as of March 31, 2022 was significantly higher as a result of both the increased sales generated related to the Great Wall Acquisition as well as increasing sales volume, and (b) compared to March 31, 2021, our inventory level as of March 31, 2022 increased sharply as a direct result of increasing sales volume and the need for normal inventory level build up during the period, partially offset by an increase in net income of $1.5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increased by $19.5 million primarily due to the $17.4 million paid for the inventory acquired related to the Great Wall Acquisition and, to a lesser extent, the purchase of property and equipment for our expanding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$11.5 million for the three months ended March 31, 2022, compared to net cash used in financing activities of $8.9 million for the three months ended March 31, 2021, an increase of $20.3 million, primarily due to the net impact of $15.2 million on our line of credit from an increase in net repayments of $1.9 million in 2021 to net proceeds of $13.3 million in 2022 as well as the net impact of $5.1 million on our checks issued not presented for payment from net repayments of $4.4 million in 2021 to net proceeds of $0.7 million in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prepared the financial information in this Quarterly Report in accordance with GAAP. Preparing our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2021 Annual Report on Form 10-K includes a summary of the critical accounting policies we believe are the most important to aid in understanding our financial results. There have been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no changes to those critical accounting policies that have had a material impact on our reported amounts of assets, liabilities, revenue, or expenses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 xml:space="preserve">For a discussion of recent accounting pronouncements, refer to Recent Accounting Pronouncements in </w:t>
      </w:r>
      <w:r>
        <w:rPr>
          <w:rFonts w:ascii="Arial" w:cs="Arial" w:eastAsia="Arial" w:hAnsi="Arial"/>
          <w:sz w:val="18"/>
          <w:szCs w:val="18"/>
          <w:i w:val="1"/>
          <w:iCs w:val="1"/>
          <w:color w:val="auto"/>
        </w:rPr>
        <w:t>Note 2 -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Arial" w:cs="Arial" w:eastAsia="Arial" w:hAnsi="Arial"/>
          <w:sz w:val="16"/>
          <w:szCs w:val="16"/>
          <w:i w:val="1"/>
          <w:iCs w:val="1"/>
          <w:color w:val="auto"/>
        </w:rPr>
        <w:t>Note 10</w:t>
      </w:r>
    </w:p>
    <w:p>
      <w:pPr>
        <w:spacing w:after="0" w:line="2"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to the unaudited condensed consolidated financial statements in this Form 10-Q for additional information.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of March 31, 2022, our aggregate floating rate debt’s outstanding principal balance was $138.0 million, or 89.6% of total debt, consisting of long-term debt and our revolving line of credit. See </w:t>
      </w:r>
      <w:r>
        <w:rPr>
          <w:rFonts w:ascii="Arial" w:cs="Arial" w:eastAsia="Arial" w:hAnsi="Arial"/>
          <w:sz w:val="17"/>
          <w:szCs w:val="17"/>
          <w:i w:val="1"/>
          <w:iCs w:val="1"/>
          <w:color w:val="auto"/>
        </w:rPr>
        <w:t>Note 10 - Debt</w:t>
      </w:r>
      <w:r>
        <w:rPr>
          <w:rFonts w:ascii="Arial" w:cs="Arial" w:eastAsia="Arial" w:hAnsi="Arial"/>
          <w:sz w:val="17"/>
          <w:szCs w:val="17"/>
          <w:color w:val="auto"/>
        </w:rPr>
        <w:t xml:space="preserve"> to the unaudited condensed consolidated financial statements in this Form 10-Q for additional information. Our floating rate debt interest is based on the floating 1-month SOFR plus a predetermined credit adjustment rate plus the bank spread. The remaining 10.4% of our debt is fixed-rate and floating rate with hedge. In a hypothetical scenario, a 1% change in the applicable rate would cause the interest expense on our floating rate debt to change by approximately $1.4 million per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Price Risk</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despite the fact that prices in the current quarter increased by 47.9% from the comparable period of 2021.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actively hedge against price fluctuations of diesel fuel in general. Instead, we seek to minimize fuel cost risk through delivery route optimization and fleet utilization improvements.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2021, we identified two material weaknesses as were reported previously, which continue to exist as of March 31, 2022. In addition, there were other material weaknesses identified during 2021 that exist as of March 31, 2022. We did not properly design or maintain effective controls over the control environment, risk assessment, monitoring, control activities,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information and communication components of the Committee of Sponsoring Organizations of the Treadway Commission in 2013.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2021, our disclosure controls and procedures were not effective as of March 31, 2022.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 In the first quarter of 2022, we hired a Vice President and Head of Internal Audit who reports directly to the interim Chief Financial Officer and to the Audit Committee Chair.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changes to our internal control over financial reporting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Arial" w:cs="Arial" w:eastAsia="Arial" w:hAnsi="Arial"/>
          <w:sz w:val="18"/>
          <w:szCs w:val="18"/>
          <w:i w:val="1"/>
          <w:iCs w:val="1"/>
          <w:color w:val="auto"/>
        </w:rPr>
        <w:t>Note 15 - Commitments and Contingencies</w:t>
      </w:r>
      <w:r>
        <w:rPr>
          <w:rFonts w:ascii="Arial" w:cs="Arial" w:eastAsia="Arial" w:hAnsi="Arial"/>
          <w:sz w:val="18"/>
          <w:szCs w:val="18"/>
          <w:color w:val="auto"/>
        </w:rPr>
        <w:t xml:space="preserve"> in our consolidated financial statements.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that we believe are material to our business, results of operations, and financial condition from those disclosed in Part I, Item 1A—“Risk Factors" of the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60" w:type="dxa"/>
            <w:vAlign w:val="bottom"/>
            <w:gridSpan w:val="15"/>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gridSpan w:val="2"/>
          </w:tcPr>
          <w:p>
            <w:pPr>
              <w:ind w:left="20"/>
              <w:spacing w:after="0" w:line="182" w:lineRule="exact"/>
              <w:rPr>
                <w:rFonts w:ascii="Arial" w:cs="Arial" w:eastAsia="Arial" w:hAnsi="Arial"/>
                <w:sz w:val="18"/>
                <w:szCs w:val="18"/>
                <w:color w:val="0000FF"/>
                <w:w w:val="87"/>
              </w:rPr>
            </w:pPr>
            <w:hyperlink r:id="rId5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540" w:type="dxa"/>
            <w:vAlign w:val="bottom"/>
            <w:tcBorders>
              <w:top w:val="single" w:sz="8" w:color="auto"/>
            </w:tcBorders>
            <w:gridSpan w:val="17"/>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Second Amended and Restated Certificate of Incorporation</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87"/>
              </w:rPr>
            </w:pPr>
            <w:hyperlink r:id="rId5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Certificate of Amendment to Certificate of Incorporation</w:t>
              </w:r>
            </w:hyperlink>
          </w:p>
        </w:tc>
        <w:tc>
          <w:tcPr>
            <w:tcW w:w="160" w:type="dxa"/>
            <w:vAlign w:val="bottom"/>
            <w:tcBorders>
              <w:top w:val="single" w:sz="8" w:color="0000FF"/>
            </w:tcBorders>
          </w:tcPr>
          <w:p>
            <w:pPr>
              <w:spacing w:after="0"/>
              <w:rPr>
                <w:sz w:val="18"/>
                <w:szCs w:val="18"/>
                <w:color w:val="auto"/>
              </w:rPr>
            </w:pPr>
          </w:p>
        </w:tc>
        <w:tc>
          <w:tcPr>
            <w:tcW w:w="22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rFonts w:ascii="Arial" w:cs="Arial" w:eastAsia="Arial" w:hAnsi="Arial"/>
                <w:sz w:val="18"/>
                <w:szCs w:val="18"/>
                <w:color w:val="0000FF"/>
                <w:w w:val="87"/>
              </w:rPr>
            </w:pPr>
            <w:hyperlink r:id="rId5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gridSpan w:val="17"/>
          </w:tcPr>
          <w:p>
            <w:pPr>
              <w:spacing w:after="0"/>
              <w:rPr>
                <w:rFonts w:ascii="Arial" w:cs="Arial" w:eastAsia="Arial" w:hAnsi="Arial"/>
                <w:sz w:val="18"/>
                <w:szCs w:val="18"/>
                <w:color w:val="0000FF"/>
              </w:rPr>
            </w:pPr>
            <w:hyperlink r:id="rId52">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87"/>
              </w:rPr>
            </w:pPr>
            <w:hyperlink r:id="rId5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0000FF"/>
            </w:tcBorders>
            <w:gridSpan w:val="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Specimen Common Stock Certificate</w:t>
              </w:r>
            </w:hyperlink>
          </w:p>
        </w:tc>
        <w:tc>
          <w:tcPr>
            <w:tcW w:w="38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gridSpan w:val="2"/>
            <w:vMerge w:val="restart"/>
          </w:tcPr>
          <w:p>
            <w:pPr>
              <w:ind w:left="20"/>
              <w:spacing w:after="0"/>
              <w:rPr>
                <w:rFonts w:ascii="Arial" w:cs="Arial" w:eastAsia="Arial" w:hAnsi="Arial"/>
                <w:sz w:val="18"/>
                <w:szCs w:val="18"/>
                <w:color w:val="0000FF"/>
                <w:w w:val="87"/>
              </w:rPr>
            </w:pPr>
            <w:hyperlink r:id="rId5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bottom w:val="single" w:sz="8" w:color="0000FF"/>
            </w:tcBorders>
            <w:gridSpan w:val="9"/>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Form of Rights Agreement, dated August 8, 2017, by and between American Stock</w:t>
              </w:r>
            </w:hyperlink>
          </w:p>
        </w:tc>
        <w:tc>
          <w:tcPr>
            <w:tcW w:w="5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20" w:type="dxa"/>
            <w:vAlign w:val="bottom"/>
            <w:gridSpan w:val="3"/>
            <w:vMerge w:val="restart"/>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Transfer &amp; Trust Company, LLC and the Registrant</w:t>
              </w:r>
            </w:hyperlink>
          </w:p>
        </w:tc>
        <w:tc>
          <w:tcPr>
            <w:tcW w:w="2820" w:type="dxa"/>
            <w:vAlign w:val="bottom"/>
            <w:gridSpan w:val="14"/>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20" w:type="dxa"/>
            <w:vAlign w:val="bottom"/>
            <w:tcBorders>
              <w:bottom w:val="single" w:sz="8" w:color="0000FF"/>
            </w:tcBorders>
            <w:gridSpan w:val="3"/>
            <w:vMerge w:val="continue"/>
          </w:tcPr>
          <w:p>
            <w:pPr>
              <w:spacing w:after="0"/>
              <w:rPr>
                <w:sz w:val="5"/>
                <w:szCs w:val="5"/>
                <w:color w:val="auto"/>
              </w:rPr>
            </w:pPr>
          </w:p>
        </w:tc>
        <w:tc>
          <w:tcPr>
            <w:tcW w:w="282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40" w:type="dxa"/>
            <w:vAlign w:val="bottom"/>
            <w:gridSpan w:val="17"/>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Unit Purchase Option between the Registrant and Chardan Capital Markets, LLC</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tcBorders>
              <w:top w:val="single" w:sz="8" w:color="0000FF"/>
            </w:tcBorders>
            <w:gridSpan w:val="16"/>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Third Amended and Restated Credit Agreement by and among HF Foods Group Inc.,</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gridSpan w:val="4"/>
            <w:vMerge w:val="restart"/>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B&amp;R Global Holdings, Inc. and certain of the wholly-owned subsidiaries and affiliates</w:t>
              </w:r>
            </w:hyperlink>
          </w:p>
        </w:tc>
        <w:tc>
          <w:tcPr>
            <w:tcW w:w="120" w:type="dxa"/>
            <w:vAlign w:val="bottom"/>
          </w:tcPr>
          <w:p>
            <w:pPr>
              <w:spacing w:after="0"/>
              <w:rPr>
                <w:sz w:val="13"/>
                <w:szCs w:val="13"/>
                <w:color w:val="auto"/>
              </w:rPr>
            </w:pPr>
          </w:p>
        </w:tc>
        <w:tc>
          <w:tcPr>
            <w:tcW w:w="280" w:type="dxa"/>
            <w:vAlign w:val="bottom"/>
            <w:gridSpan w:val="5"/>
          </w:tcPr>
          <w:p>
            <w:pPr>
              <w:ind w:left="20"/>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of</w:t>
              </w:r>
            </w:hyperlink>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20" w:type="dxa"/>
            <w:vAlign w:val="bottom"/>
            <w:tcBorders>
              <w:top w:val="single" w:sz="8" w:color="0000FF"/>
            </w:tcBorders>
            <w:gridSpan w:val="15"/>
            <w:vMerge w:val="restart"/>
          </w:tcPr>
          <w:p>
            <w:pPr>
              <w:spacing w:after="0" w:line="15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the Company, as borrowers, JPMorgan Chase Bank, N.A. as Administrative Agent, and</w:t>
              </w:r>
            </w:hyperlink>
          </w:p>
        </w:tc>
        <w:tc>
          <w:tcPr>
            <w:tcW w:w="12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20" w:type="dxa"/>
            <w:vAlign w:val="bottom"/>
            <w:tcBorders>
              <w:top w:val="single" w:sz="8" w:color="0000FF"/>
            </w:tcBorders>
            <w:gridSpan w:val="15"/>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certain lender parties thereto, including Comerica Bank, dated March 31, 2022</w:t>
              </w:r>
            </w:hyperlink>
          </w:p>
        </w:tc>
        <w:tc>
          <w:tcPr>
            <w:tcW w:w="6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gridSpan w:val="4"/>
            <w:vMerge w:val="restart"/>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Chief Executive Officer pursuant to Rule 13a-14 and Rule 15d-14(a),</w:t>
            </w:r>
          </w:p>
        </w:tc>
        <w:tc>
          <w:tcPr>
            <w:tcW w:w="4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540" w:type="dxa"/>
            <w:vAlign w:val="bottom"/>
            <w:gridSpan w:val="17"/>
            <w:vMerge w:val="restart"/>
          </w:tcPr>
          <w:p>
            <w:pPr>
              <w:spacing w:after="0" w:line="156" w:lineRule="exact"/>
              <w:rPr>
                <w:sz w:val="20"/>
                <w:szCs w:val="20"/>
                <w:color w:val="auto"/>
              </w:rPr>
            </w:pPr>
            <w:r>
              <w:rPr>
                <w:rFonts w:ascii="Arial" w:cs="Arial" w:eastAsia="Arial" w:hAnsi="Arial"/>
                <w:sz w:val="18"/>
                <w:szCs w:val="18"/>
                <w:color w:val="0000FF"/>
              </w:rPr>
              <w:t>promulgated under the Securities and Exchange Act of 1934, as amended.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54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0000FF"/>
                <w:w w:val="98"/>
              </w:rPr>
              <w:t>Certification of Chief Financial Officer pursuant to Rule 13a-14 and Rule 15d-14(a),</w:t>
            </w: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80" w:type="dxa"/>
            <w:vAlign w:val="bottom"/>
            <w:tcBorders>
              <w:top w:val="single" w:sz="8" w:color="0000FF"/>
            </w:tcBorders>
            <w:gridSpan w:val="10"/>
            <w:vMerge w:val="restart"/>
          </w:tcPr>
          <w:p>
            <w:pPr>
              <w:spacing w:after="0" w:line="156" w:lineRule="exact"/>
              <w:rPr>
                <w:sz w:val="20"/>
                <w:szCs w:val="20"/>
                <w:color w:val="auto"/>
              </w:rPr>
            </w:pPr>
            <w:r>
              <w:rPr>
                <w:rFonts w:ascii="Arial" w:cs="Arial" w:eastAsia="Arial" w:hAnsi="Arial"/>
                <w:sz w:val="18"/>
                <w:szCs w:val="18"/>
                <w:color w:val="0000FF"/>
              </w:rPr>
              <w:t>promulgated under the Securities and Exchange Act of 1934, as amended.</w:t>
            </w:r>
          </w:p>
        </w:tc>
        <w:tc>
          <w:tcPr>
            <w:tcW w:w="460" w:type="dxa"/>
            <w:vAlign w:val="bottom"/>
            <w:gridSpan w:val="7"/>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80" w:type="dxa"/>
            <w:vAlign w:val="bottom"/>
            <w:tcBorders>
              <w:top w:val="single" w:sz="8" w:color="0000FF"/>
            </w:tcBorders>
            <w:gridSpan w:val="10"/>
            <w:vMerge w:val="continue"/>
          </w:tcPr>
          <w:p>
            <w:pPr>
              <w:spacing w:after="0"/>
              <w:rPr>
                <w:sz w:val="5"/>
                <w:szCs w:val="5"/>
                <w:color w:val="auto"/>
              </w:rPr>
            </w:pPr>
          </w:p>
        </w:tc>
        <w:tc>
          <w:tcPr>
            <w:tcW w:w="4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w:t>
            </w:r>
          </w:p>
        </w:tc>
        <w:tc>
          <w:tcPr>
            <w:tcW w:w="2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540" w:type="dxa"/>
            <w:vAlign w:val="bottom"/>
            <w:gridSpan w:val="17"/>
            <w:vMerge w:val="restart"/>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54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0000FF"/>
                <w:w w:val="95"/>
              </w:rPr>
              <w:t>Certification of Chief Financial Officer pursuant to 18 U.S.C. Section 1350, as adopted</w:t>
            </w: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60" w:type="dxa"/>
            <w:vAlign w:val="bottom"/>
            <w:tcBorders>
              <w:top w:val="single" w:sz="8" w:color="0000FF"/>
            </w:tcBorders>
            <w:gridSpan w:val="12"/>
            <w:vMerge w:val="restart"/>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280" w:type="dxa"/>
            <w:vAlign w:val="bottom"/>
            <w:gridSpan w:val="5"/>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60" w:type="dxa"/>
            <w:vAlign w:val="bottom"/>
            <w:tcBorders>
              <w:top w:val="single" w:sz="8" w:color="0000FF"/>
            </w:tcBorders>
            <w:gridSpan w:val="12"/>
            <w:vMerge w:val="continue"/>
          </w:tcPr>
          <w:p>
            <w:pPr>
              <w:spacing w:after="0"/>
              <w:rPr>
                <w:sz w:val="5"/>
                <w:szCs w:val="5"/>
                <w:color w:val="auto"/>
              </w:rPr>
            </w:pPr>
          </w:p>
        </w:tc>
        <w:tc>
          <w:tcPr>
            <w:tcW w:w="2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2"/>
                <w:szCs w:val="22"/>
                <w:color w:val="auto"/>
              </w:rPr>
            </w:pPr>
          </w:p>
        </w:tc>
        <w:tc>
          <w:tcPr>
            <w:tcW w:w="4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22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5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540" w:type="dxa"/>
            <w:vAlign w:val="bottom"/>
            <w:gridSpan w:val="17"/>
          </w:tcPr>
          <w:p>
            <w:pPr>
              <w:spacing w:after="0" w:line="111" w:lineRule="exact"/>
              <w:rPr>
                <w:sz w:val="20"/>
                <w:szCs w:val="20"/>
                <w:color w:val="auto"/>
              </w:rPr>
            </w:pPr>
            <w:r>
              <w:rPr>
                <w:rFonts w:ascii="Arial" w:cs="Arial" w:eastAsia="Arial" w:hAnsi="Arial"/>
                <w:sz w:val="12"/>
                <w:szCs w:val="12"/>
                <w:color w:val="auto"/>
              </w:rPr>
              <w:t>Cover Page Interactive Data File (formatted as Inline XBRL and contained in Exhibit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-3498215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-2906395</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-2494915</wp:posOffset>
            </wp:positionV>
            <wp:extent cx="7132320" cy="488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-1209040</wp:posOffset>
            </wp:positionV>
            <wp:extent cx="713232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0"/>
        </w:trPr>
        <w:tc>
          <w:tcPr>
            <w:tcW w:w="780" w:type="dxa"/>
            <w:vAlign w:val="bottom"/>
          </w:tcPr>
          <w:p>
            <w:pPr>
              <w:jc w:val="right"/>
              <w:ind w:right="330"/>
              <w:spacing w:after="0"/>
              <w:rPr>
                <w:sz w:val="20"/>
                <w:szCs w:val="20"/>
                <w:color w:val="auto"/>
              </w:rPr>
            </w:pPr>
            <w:r>
              <w:rPr>
                <w:rFonts w:ascii="Arial" w:cs="Arial" w:eastAsia="Arial" w:hAnsi="Arial"/>
                <w:sz w:val="18"/>
                <w:szCs w:val="18"/>
                <w:color w:val="auto"/>
                <w:w w:val="91"/>
              </w:rPr>
              <w:t>104*</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5"/>
        </w:trPr>
        <w:tc>
          <w:tcPr>
            <w:tcW w:w="7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0" w:hanging="574"/>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hanging="574"/>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51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Form</w:t>
            </w: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8/11/2017</w:t>
            </w:r>
          </w:p>
        </w:tc>
      </w:tr>
      <w:tr>
        <w:trPr>
          <w:trHeight w:val="229"/>
        </w:trPr>
        <w:tc>
          <w:tcPr>
            <w:tcW w:w="960" w:type="dxa"/>
            <w:vAlign w:val="bottom"/>
            <w:gridSpan w:val="2"/>
          </w:tcPr>
          <w:p>
            <w:pPr>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8/27/2018</w:t>
            </w: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11/04/2022</w:t>
            </w: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S-1/A</w:t>
            </w:r>
          </w:p>
        </w:tc>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7/28/2017</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8/11/2017</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S-1/A</w:t>
            </w:r>
          </w:p>
        </w:tc>
        <w:tc>
          <w:tcPr>
            <w:tcW w:w="1120" w:type="dxa"/>
            <w:vAlign w:val="bottom"/>
          </w:tcPr>
          <w:p>
            <w:pPr>
              <w:ind w:lef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7/28/2017</w:t>
            </w:r>
          </w:p>
        </w:tc>
      </w:tr>
      <w:tr>
        <w:trPr>
          <w:trHeight w:val="499"/>
        </w:trPr>
        <w:tc>
          <w:tcPr>
            <w:tcW w:w="960" w:type="dxa"/>
            <w:vAlign w:val="bottom"/>
            <w:gridSpan w:val="2"/>
          </w:tcPr>
          <w:p>
            <w:pPr>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4/1/2022</w:t>
            </w:r>
          </w:p>
        </w:tc>
      </w:tr>
    </w:tbl>
    <w:p>
      <w:pPr>
        <w:sectPr>
          <w:pgSz w:w="11900" w:h="16838" w:orient="portrait"/>
          <w:cols w:equalWidth="0" w:num="2">
            <w:col w:w="7760" w:space="100"/>
            <w:col w:w="3380"/>
          </w:cols>
          <w:pgMar w:left="320" w:top="1107"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HF FOODS GROUP INC.</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Xiao Mou Zhang</w:t>
      </w:r>
    </w:p>
    <w:p>
      <w:pPr>
        <w:ind w:left="5620"/>
        <w:spacing w:after="0"/>
        <w:rPr>
          <w:sz w:val="20"/>
          <w:szCs w:val="20"/>
          <w:color w:val="auto"/>
        </w:rPr>
      </w:pPr>
      <w:r>
        <w:rPr>
          <w:rFonts w:ascii="Arial" w:cs="Arial" w:eastAsia="Arial" w:hAnsi="Arial"/>
          <w:sz w:val="18"/>
          <w:szCs w:val="18"/>
          <w:color w:val="auto"/>
        </w:rPr>
        <w:t>Chief Executive Officer</w:t>
      </w:r>
    </w:p>
    <w:p>
      <w:pPr>
        <w:spacing w:after="0" w:line="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Carlos Rodriguez</w:t>
      </w:r>
    </w:p>
    <w:p>
      <w:pPr>
        <w:ind w:left="5620"/>
        <w:spacing w:after="0" w:line="203" w:lineRule="auto"/>
        <w:rPr>
          <w:sz w:val="20"/>
          <w:szCs w:val="20"/>
          <w:color w:val="auto"/>
        </w:rPr>
      </w:pPr>
      <w:r>
        <w:rPr>
          <w:rFonts w:ascii="Arial" w:cs="Arial" w:eastAsia="Arial" w:hAnsi="Arial"/>
          <w:sz w:val="18"/>
          <w:szCs w:val="18"/>
          <w:color w:val="auto"/>
        </w:rPr>
        <w:t>Chief Financial Officer</w:t>
      </w:r>
    </w:p>
    <w:p>
      <w:pPr>
        <w:ind w:left="5620"/>
        <w:spacing w:after="0"/>
        <w:rPr>
          <w:sz w:val="20"/>
          <w:szCs w:val="20"/>
          <w:color w:val="auto"/>
        </w:rPr>
      </w:pPr>
      <w:r>
        <w:rPr>
          <w:rFonts w:ascii="Arial" w:cs="Arial" w:eastAsia="Arial" w:hAnsi="Arial"/>
          <w:sz w:val="18"/>
          <w:szCs w:val="18"/>
          <w:color w:val="auto"/>
        </w:rPr>
        <w:t>(Principal accounting and financial officer)</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January 31,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891"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Xiao Mou Zhang, certify that:</w:t>
      </w:r>
    </w:p>
    <w:p>
      <w:pPr>
        <w:spacing w:after="0" w:line="225"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HF Foods Group Inc.;</w:t>
      </w:r>
    </w:p>
    <w:p>
      <w:pPr>
        <w:spacing w:after="0" w:line="225" w:lineRule="exact"/>
        <w:rPr>
          <w:rFonts w:ascii="Arial" w:cs="Arial" w:eastAsia="Arial" w:hAnsi="Arial"/>
          <w:sz w:val="18"/>
          <w:szCs w:val="18"/>
          <w:color w:val="auto"/>
        </w:rPr>
      </w:pPr>
    </w:p>
    <w:p>
      <w:pPr>
        <w:ind w:firstLine="494"/>
        <w:spacing w:after="0" w:line="342"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94"/>
        <w:spacing w:after="0" w:line="263"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494"/>
        <w:spacing w:after="0" w:line="308"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January 31, 2023</w:t>
            </w:r>
          </w:p>
        </w:tc>
        <w:tc>
          <w:tcPr>
            <w:tcW w:w="7680" w:type="dxa"/>
            <w:vAlign w:val="bottom"/>
            <w:gridSpan w:val="2"/>
          </w:tcPr>
          <w:p>
            <w:pPr>
              <w:ind w:left="1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Xiao Mou Zhang</w:t>
            </w:r>
          </w:p>
        </w:tc>
      </w:tr>
      <w:tr>
        <w:trPr>
          <w:trHeight w:val="222"/>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Xiao Mou Zhang</w:t>
            </w:r>
          </w:p>
        </w:tc>
      </w:tr>
      <w:tr>
        <w:trPr>
          <w:trHeight w:val="230"/>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Carlos Rodriguez, certify that:</w:t>
      </w:r>
    </w:p>
    <w:p>
      <w:pPr>
        <w:spacing w:after="0" w:line="225"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HF Foods Group Inc.;</w:t>
      </w:r>
    </w:p>
    <w:p>
      <w:pPr>
        <w:spacing w:after="0" w:line="225" w:lineRule="exact"/>
        <w:rPr>
          <w:rFonts w:ascii="Arial" w:cs="Arial" w:eastAsia="Arial" w:hAnsi="Arial"/>
          <w:sz w:val="18"/>
          <w:szCs w:val="18"/>
          <w:color w:val="auto"/>
        </w:rPr>
      </w:pPr>
    </w:p>
    <w:p>
      <w:pPr>
        <w:ind w:firstLine="494"/>
        <w:spacing w:after="0" w:line="342"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94"/>
        <w:spacing w:after="0" w:line="263"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494"/>
        <w:spacing w:after="0" w:line="263"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7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494"/>
        <w:spacing w:after="0" w:line="308" w:lineRule="auto"/>
        <w:tabs>
          <w:tab w:leader="none" w:pos="7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3" w:lineRule="auto"/>
        <w:tabs>
          <w:tab w:leader="none" w:pos="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494"/>
        <w:spacing w:after="0" w:line="308" w:lineRule="auto"/>
        <w:tabs>
          <w:tab w:leader="none" w:pos="6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494"/>
        <w:spacing w:after="0" w:line="277" w:lineRule="auto"/>
        <w:tabs>
          <w:tab w:leader="none" w:pos="6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6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5240" w:val="left"/>
          <w:tab w:leader="none" w:pos="5740" w:val="left"/>
        </w:tabs>
        <w:rPr>
          <w:sz w:val="20"/>
          <w:szCs w:val="20"/>
          <w:color w:val="auto"/>
        </w:rPr>
      </w:pPr>
      <w:r>
        <w:rPr>
          <w:rFonts w:ascii="Arial" w:cs="Arial" w:eastAsia="Arial" w:hAnsi="Arial"/>
          <w:sz w:val="18"/>
          <w:szCs w:val="18"/>
          <w:color w:val="auto"/>
        </w:rPr>
        <w:t>Date: January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Carlos Rodriguez</w:t>
      </w:r>
    </w:p>
    <w:p>
      <w:pP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Quarterly Report on Form 10-Q of HF Foods Group Inc. (the “Company”) for the quarterly period ended March 31, 2022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spacing w:after="0" w:line="149" w:lineRule="exact"/>
        <w:rPr>
          <w:sz w:val="20"/>
          <w:szCs w:val="20"/>
          <w:color w:val="auto"/>
        </w:rPr>
      </w:pPr>
    </w:p>
    <w:p>
      <w:pPr>
        <w:ind w:left="660" w:hanging="652"/>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Xiao Mou Zhang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31, 2023</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Quarterly Report on Form 10-Q of HF Foods Group Inc. (the “Company”) for the quarterly period ended March 31, 2022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spacing w:after="0" w:line="149" w:lineRule="exact"/>
        <w:rPr>
          <w:sz w:val="20"/>
          <w:szCs w:val="20"/>
          <w:color w:val="auto"/>
        </w:rPr>
      </w:pPr>
    </w:p>
    <w:p>
      <w:pPr>
        <w:ind w:left="660" w:hanging="652"/>
        <w:spacing w:after="0" w:line="277"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Carlos Rodriguez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31,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5"/>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50" Type="http://schemas.openxmlformats.org/officeDocument/2006/relationships/hyperlink" Target="http://www.sec.gov/Archives/edgar/data/1680873/000143774919021487/ex_162902.htm" TargetMode="External"/><Relationship Id="rId51" Type="http://schemas.openxmlformats.org/officeDocument/2006/relationships/hyperlink" Target="https://www.sec.gov/Archives/edgar/data/1680873/000161577418008665/s112256ex3_1-2.htm" TargetMode="External"/><Relationship Id="rId52" Type="http://schemas.openxmlformats.org/officeDocument/2006/relationships/hyperlink" Target="http://www.sec.gov/Archives/edgar/data/1680873/000168087322000056/ex302-arbylawsxnovember2022.htm" TargetMode="External"/><Relationship Id="rId53" Type="http://schemas.openxmlformats.org/officeDocument/2006/relationships/hyperlink" Target="https://www.sec.gov/Archives/edgar/data/1680873/000161577417003872/s106920_ex4-2.htm" TargetMode="External"/><Relationship Id="rId54" Type="http://schemas.openxmlformats.org/officeDocument/2006/relationships/hyperlink" Target="https://www.sec.gov/Archives/edgar/data/1680873/000161577417004291/s107155_ex4-1.htm" TargetMode="External"/><Relationship Id="rId55" Type="http://schemas.openxmlformats.org/officeDocument/2006/relationships/hyperlink" Target="https://www.sec.gov/Archives/edgar/data/1680873/000161577417003872/s106920_ex4-5.htm" TargetMode="External"/><Relationship Id="rId56" Type="http://schemas.openxmlformats.org/officeDocument/2006/relationships/hyperlink" Target="https://www.sec.gov/Archives/edgar/data/0001680873/000168087322000015/exh101-xthirdamendedand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2023-01-31T15:17:27Z</dcterms:created>
  <dcterms:modified xsi:type="dcterms:W3CDTF">2023-01-31T15:17:27Z</dcterms:modified>
</cp:coreProperties>
</file>