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424(b)(1)</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 – 232080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PROSPECTUS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HF FOODS GROUP INC.</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1,723,590 Shares of Common Stock</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This prospectus relates to the resale of up to 1,723,590 shares of our common stock, par value $.0001 per share of HF Foods Group Inc. from time to time by the selling stockholders named in this prospectus (“Selling Stockholders”).</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We will not receive any proceeds from the sale of the shares by the Selling Stockholders. We have agreed to pay the expenses in connection with the registration of these shares.</w:t>
      </w:r>
    </w:p>
    <w:p>
      <w:pPr>
        <w:spacing w:after="0" w:line="17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Our common stock is listed on the NASDAQ Capital Market under the symbol “HFFG.” Each prospectus supplement will contain information, where applicable, as to our listing on the NASDAQ Capital Market or on any other securities exchange of the securities covered by the prospectus supplement.</w:t>
      </w:r>
    </w:p>
    <w:p>
      <w:pPr>
        <w:spacing w:after="0" w:line="120" w:lineRule="exact"/>
        <w:rPr>
          <w:sz w:val="24"/>
          <w:szCs w:val="24"/>
          <w:color w:val="auto"/>
        </w:rPr>
      </w:pPr>
    </w:p>
    <w:p>
      <w:pPr>
        <w:ind w:right="380"/>
        <w:spacing w:after="0" w:line="347" w:lineRule="auto"/>
        <w:rPr>
          <w:sz w:val="20"/>
          <w:szCs w:val="20"/>
          <w:color w:val="auto"/>
        </w:rPr>
      </w:pPr>
      <w:r>
        <w:rPr>
          <w:rFonts w:ascii="Arial" w:cs="Arial" w:eastAsia="Arial" w:hAnsi="Arial"/>
          <w:sz w:val="16"/>
          <w:szCs w:val="16"/>
          <w:b w:val="1"/>
          <w:bCs w:val="1"/>
          <w:color w:val="auto"/>
        </w:rPr>
        <w:t>An investment in our common stock involves a high degree of risk. See the sections entitled “Risk Factors” in our most recent Annual Report on Form 10-K and in any Quarterly Report on Form 10-Q, as well as in any prospectus supplement related to these specific offerings.</w:t>
      </w:r>
    </w:p>
    <w:p>
      <w:pPr>
        <w:spacing w:after="0" w:line="116" w:lineRule="exact"/>
        <w:rPr>
          <w:sz w:val="24"/>
          <w:szCs w:val="24"/>
          <w:color w:val="auto"/>
        </w:rPr>
      </w:pPr>
    </w:p>
    <w:p>
      <w:pPr>
        <w:ind w:right="540"/>
        <w:spacing w:after="0" w:line="282"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62"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June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0" w:type="dxa"/>
            <w:vAlign w:val="bottom"/>
          </w:tcPr>
          <w:p>
            <w:pPr>
              <w:spacing w:after="0"/>
              <w:rPr>
                <w:sz w:val="24"/>
                <w:szCs w:val="24"/>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DESCRIPTIONS OF THE SECURITIES WE MAY OFFER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LIMITATION ON LIABILITY AND DISCLOSURE OF COMMISSION POSITION ON INDEMNIFICATION FOR SECURITIES ACT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0" w:type="dxa"/>
            <w:vAlign w:val="bottom"/>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INFORMATION INCORPORATED BY REFERENCE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prospectus summary highlights certain information about our company and other information contained elsewhere in this prospectus or in documents incorporated by reference. This summary does not contain all of the information that you should consider before making an investment decision. You should carefully read the entire prospectus, any prospectus supplement, including the section entitled “Risk Factors” and the documents incorporated by reference into this prospectus, before making an investment decision.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the sale by the Selling Stockholders of up to 1,723,590 shares of our common stock.</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1,723,590 shares</w:t>
      </w:r>
    </w:p>
    <w:p>
      <w:pPr>
        <w:spacing w:after="0" w:line="211" w:lineRule="exact"/>
        <w:rPr>
          <w:sz w:val="20"/>
          <w:szCs w:val="20"/>
          <w:color w:val="auto"/>
        </w:rPr>
      </w:pPr>
    </w:p>
    <w:p>
      <w:pPr>
        <w:sectPr>
          <w:pgSz w:w="11900" w:h="16838" w:orient="portrait"/>
          <w:cols w:equalWidth="0" w:num="2">
            <w:col w:w="4280" w:space="720"/>
            <w:col w:w="642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HFFG</w:t>
      </w:r>
    </w:p>
    <w:p>
      <w:pPr>
        <w:spacing w:after="0" w:line="200" w:lineRule="exact"/>
        <w:rPr>
          <w:sz w:val="20"/>
          <w:szCs w:val="20"/>
          <w:color w:val="auto"/>
        </w:rPr>
      </w:pPr>
    </w:p>
    <w:p>
      <w:pPr>
        <w:sectPr>
          <w:pgSz w:w="11900" w:h="16838" w:orient="portrait"/>
          <w:cols w:equalWidth="0" w:num="2">
            <w:col w:w="4280" w:space="720"/>
            <w:col w:w="6420"/>
          </w:cols>
          <w:pgMar w:left="240" w:top="58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See “Risk Factors” beginning on page 4 and other information included in this prospectus for a discussion of factors you should consider before deciding to invest in shares of our common stock.</w:t>
      </w:r>
    </w:p>
    <w:p>
      <w:pPr>
        <w:spacing w:after="0" w:line="177" w:lineRule="exact"/>
        <w:rPr>
          <w:sz w:val="20"/>
          <w:szCs w:val="20"/>
          <w:color w:val="auto"/>
        </w:rPr>
      </w:pPr>
    </w:p>
    <w:p>
      <w:pPr>
        <w:sectPr>
          <w:pgSz w:w="11900" w:h="16838" w:orient="portrait"/>
          <w:cols w:equalWidth="0" w:num="2">
            <w:col w:w="4280" w:space="720"/>
            <w:col w:w="6420"/>
          </w:cols>
          <w:pgMar w:left="240" w:top="58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HF Foods Group Inc., acting through its subsidiaries, is a foodservice distributor operated by Chinese Americans, providing Chinese restaurants, primarily Chinese takeout restaurants located in the southeastern United States, with good quality food and supplies at competitive prices. Since our inception in 1997, fueled by increasing demand in the Chinese foods market segment, which our management believes is highly fragmented with unsophisticated competitors and has natural cultural barriers, we have grown our business and currently serve approximately 3,200 restaurant customers in ten states with our deep understanding of Chinese Culture and our business know-how in the Chinese community.</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past 20 years’ operation, we have developed distribution channels throughout the southeastern United States. We have three distribution centers located in Greensboro, North Carolina, Ocala, Florida, and Atlanta Georgia, which comprise 400,000 square feet of total storage space, a fleet of 105 refrigerated vehicles for short-distance delivery, 12 tractors and 17 trailers for long-haul operations, and centralized inventory management and procurement, supported by an outsourced call center located in China for customer relationship management. We offer a variety of high quality products at competitive prices to our customers. Customers can benefit from our efficient supply chain to support such customer’s growth.</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one-stop service to Chinese restaurants with over 1,000 types of products, including fresh and frozen meats, Chinese specialty vegetables, sauces, and packaging materials for takeout restaurants. Chinese restaurants, especially small or takeout restaurants, can find almost all the products they need in our product lists, which can help them to save their workload to manage their purchase of inventory. We use an outsourced call center in Fuzhou, China, with 24 hour availability for sales and marketing, order placement and post-sales service, which reduces our operating costs, and offers service in Mandarin and Fuzhou dialect, in addition to English.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both"/>
        <w:spacing w:after="0" w:line="312" w:lineRule="auto"/>
        <w:rPr>
          <w:sz w:val="20"/>
          <w:szCs w:val="20"/>
          <w:color w:val="auto"/>
        </w:rPr>
      </w:pPr>
      <w:r>
        <w:rPr>
          <w:rFonts w:ascii="Arial" w:cs="Arial" w:eastAsia="Arial" w:hAnsi="Arial"/>
          <w:sz w:val="16"/>
          <w:szCs w:val="16"/>
          <w:color w:val="auto"/>
        </w:rPr>
        <w:t>With 20 years operations, we have established a large supplier network and we maintain long-term relationships with many major suppliers. The procurement team is led by Zhou Min Ni, CEO of the Company, who has deep insight in the industry. The centralized procurement management system gives us negotiating power given the large procurement quantities, improves our turnover of inventory and account payables, and reduces our operating costs.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strategically consolidate our market segment by acquiring competitors, including other distributors and wholesalers, to expand our business into untapped regions around the United States and to eventually grow into a nationwide foodservice distributor. We will continue to invest in the management technology system to further improve our operational efficiency, accuracy and customer satisfaction. We will also explore value-added products such as semi-prepared products to help our customers upgrade their service.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offices are located at 6001 W. Market Street, Greensboro, NC 27409. Our website is located at www.hffoodsgroup.com, and our telephone number is (336) 268-2080. Information found on, or accessible through, our website is not a part of, and is not incorporated into, this prospectus, and you should not consider it part of this prospectus or part of any prospectus supplement. Our website address is included in this document as an inactive textual reference only.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Investing in our securities involves risk. The prospectus supplement applicable to a particular offering of securities will contain a discussion of the risks applicable to an investment in HF Foods Group and to the particular types of securities that we are offering under that prospectus supplement. Before making an investment decision, you should carefully consider the risks described under “Risk Factors” in the applicable prospectus supplement and the risks described in our most recent Annual Report on Form 10-K for the year ended December 31, 2018, as amended from time to time, which is incorporated herein by reference, or any updates in our Quarterly Reports on Form 10-Q, together with all of the other information appearing in or incorporated by reference into this prospectus and any applicable prospectus supplement, in light of your particular investment objectives and financial circumstances. Our business, financial condition or results of operations could be materially adversely affected by any of these risks. The trading price of our securities could decline due to any of these risks, and you may lose all or part of your investment.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prospectus contains forward-looking statements.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spacing w:after="0" w:line="197"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Unfavorable macroeconomic conditions in the United States;</w:t>
      </w:r>
    </w:p>
    <w:p>
      <w:pPr>
        <w:spacing w:after="0" w:line="36" w:lineRule="exact"/>
        <w:rPr>
          <w:rFonts w:ascii="Arial" w:cs="Arial" w:eastAsia="Arial" w:hAnsi="Arial"/>
          <w:sz w:val="18"/>
          <w:szCs w:val="18"/>
          <w:color w:val="auto"/>
        </w:rPr>
      </w:pPr>
    </w:p>
    <w:p>
      <w:pPr>
        <w:ind w:left="1300" w:right="40" w:hanging="644"/>
        <w:spacing w:after="0" w:line="258"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in the food service distribution industry particularly the entry of new competitors into the Chinese/Asian restaurant market niche;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fuel costs;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commodity prices;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 of relationships with vendors and increases in product prices;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government tariffs on products imported into the United States, particularly from China;</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consumer eating and dining out habits;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 of relationships with or loss of customers;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execute our acquisition strategy;</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of financing to execute our acquisition strategy;</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renew or replace the current lease of our warehouse in Georgia;</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Control of the Company by our Chief Executive Officer and principal stockholder;</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retain our senior management and other key personnel particularly, Zhou Min Ni and Chan Sin Wong;</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train and retain employees;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and enforcement of immigration laws;</w:t>
      </w:r>
    </w:p>
    <w:p>
      <w:pPr>
        <w:spacing w:after="0" w:line="36" w:lineRule="exact"/>
        <w:rPr>
          <w:rFonts w:ascii="Arial" w:cs="Arial" w:eastAsia="Arial" w:hAnsi="Arial"/>
          <w:sz w:val="18"/>
          <w:szCs w:val="18"/>
          <w:color w:val="auto"/>
        </w:rPr>
      </w:pPr>
    </w:p>
    <w:p>
      <w:pPr>
        <w:ind w:left="1300" w:right="40" w:hanging="644"/>
        <w:spacing w:after="0" w:line="258"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comply with various federal, state and local rules and regulations regarding food safety, sanitation, transportation, minimum wage, overtime and other health and safety laws;</w:t>
      </w:r>
    </w:p>
    <w:p>
      <w:pPr>
        <w:spacing w:after="0" w:line="1" w:lineRule="exact"/>
        <w:rPr>
          <w:rFonts w:ascii="Arial" w:cs="Arial" w:eastAsia="Arial" w:hAnsi="Arial"/>
          <w:sz w:val="18"/>
          <w:szCs w:val="18"/>
          <w:color w:val="auto"/>
        </w:rPr>
      </w:pPr>
    </w:p>
    <w:p>
      <w:pPr>
        <w:ind w:left="1300" w:right="40" w:hanging="644"/>
        <w:spacing w:after="0" w:line="250"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recalls, voluntary recalls or withdrawals if any of the products we distribute are alleged to have caused illness, been mislabeled, misbranded or adulterated or to otherwise have violated applicable government regulations;</w:t>
      </w: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protect our intellectual property rights;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cyber security incident, other technology disruption or delay in implementing our information technology systems;</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development of an active trading market for our common stock; and</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other factors discussed in “Item 1A. Risk Factors.” in our Annual Report on Form 10-K for the fiscal year ended December 31, 2018.</w:t>
      </w: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are made only as of the date hereof. Except as otherwise required by law, we undertake no obligation to update or revise any forward-looking statement as a result of new information, future events or otherwise.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declared or paid dividends on our common stock and we do not anticipate paying any cash dividends on our common stock in the foreseeable future. Payment of cash dividends, if any, in the future will be at the discretion of our board of directors and will depend on applicable law and then-existing conditions, including our financial condition, operating results, contractual restrictions, capital requirements, business prospects and other factors our board of directors may deem relevant. We currently intend to retain all available funds and any future earnings to fund the development and growth of our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portion of the net proceeds by the Selling Stockholders from the sale of the shares of common stock.</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registering shares of common stock beneficially owned by the Selling Stockholders listed below to be sold under this prospectus.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the name of the Selling Stockholders, the number of shares of common stock owned by the Selling Stockholders immediately prior to the date of this prospectus and the number of shares to be offered by the Selling Stockholders pursuant to this prospectus. Percentage of beneficial ownership before this offering is based on 22,167,486 shares of our common stock outstanding as of June 17, 2019. Beneficial ownership is based on information furnished by the Selling Stockholders.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None of the Selling Stockholders except for Chardan Capital Markets and B. Riley FBR, Inc. is a broker dealer or an affiliate of a broker dealer. The Selling Stockholders may offer for sale all or part of the shares from time to time. The table below assumes that the Selling Stockholders will sell all of the shares offered for sale. The Selling Stockholders are under no obligation, however, to sell any shares pursuant to this prospectus. All of the securities being sold by the Selling Stockholders were acquired by the Selling Stockholder in connection with our orangization or our initial public offering in August 2017:</w:t>
      </w:r>
    </w:p>
    <w:p>
      <w:pPr>
        <w:spacing w:after="0" w:line="154"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May 2017, our then officers and directors purchased an aggregate of 1,150,000 shares of our common stock for an aggregate purchase price of $25,000, or approximately $0.02 per share.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closing of our initial public offering, we sold Chardan Capital Markets, LLC, the representative of the underwriters in our initial public offering, for $100.00, an option to purchase up to a total of 250,000 units at $10.50 per unit. The purchase option is exercisable for 250,000 shares of common stock and 250,000 rights to acquire 25,000 shares (or an aggregate of 275,000 shares).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Simultaneously with the closing of our initial public offering, we consummated a private placement of 320,000 units at a price of $10.00 per Private Unit, generating total proceeds of $3,200,000.</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Simultaneously with the closing of the partial exercise of the underwriter’s over-allotment option, we consummated the private sale of an additional 21,250 private units at a price of $10.00 per unit.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9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Beneficial Ownership</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Beneficial Ownership</w:t>
            </w:r>
          </w:p>
        </w:tc>
      </w:tr>
      <w:tr>
        <w:trPr>
          <w:trHeight w:val="270"/>
        </w:trPr>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900" w:type="dxa"/>
            <w:vAlign w:val="bottom"/>
            <w:gridSpan w:val="4"/>
          </w:tcPr>
          <w:p>
            <w:pPr>
              <w:jc w:val="right"/>
              <w:ind w:right="900"/>
              <w:spacing w:after="0" w:line="269" w:lineRule="exact"/>
              <w:rPr>
                <w:sz w:val="20"/>
                <w:szCs w:val="20"/>
                <w:color w:val="auto"/>
              </w:rPr>
            </w:pPr>
            <w:r>
              <w:rPr>
                <w:rFonts w:ascii="Arial" w:cs="Arial" w:eastAsia="Arial" w:hAnsi="Arial"/>
                <w:sz w:val="18"/>
                <w:szCs w:val="18"/>
                <w:b w:val="1"/>
                <w:bCs w:val="1"/>
                <w:color w:val="auto"/>
              </w:rPr>
              <w:t>Before Offering</w:t>
            </w:r>
            <w:r>
              <w:rPr>
                <w:rFonts w:ascii="Arial" w:cs="Arial" w:eastAsia="Arial" w:hAnsi="Arial"/>
                <w:sz w:val="30"/>
                <w:szCs w:val="30"/>
                <w:b w:val="1"/>
                <w:bCs w:val="1"/>
                <w:color w:val="auto"/>
                <w:vertAlign w:val="superscript"/>
              </w:rPr>
              <w:t>(1)</w:t>
            </w: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5"/>
              </w:rPr>
              <w:t>After Offering</w:t>
            </w:r>
          </w:p>
        </w:tc>
      </w:tr>
      <w:tr>
        <w:trPr>
          <w:trHeight w:val="191"/>
        </w:trPr>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Selling Stockholder</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3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Ying Chen</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60,687</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60,687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Lanxin Chen</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6,637</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6,637</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Wai Fung Cheng</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301,568</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301,568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Yuanyuan Wu</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44,250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44,250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Peiling He</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165,937</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Tom W. Su</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422,587</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180" w:type="dxa"/>
            <w:vAlign w:val="bottom"/>
          </w:tcPr>
          <w:p>
            <w:pPr>
              <w:jc w:val="right"/>
              <w:spacing w:after="0"/>
              <w:rPr>
                <w:sz w:val="20"/>
                <w:szCs w:val="20"/>
                <w:color w:val="auto"/>
              </w:rPr>
            </w:pPr>
            <w:r>
              <w:rPr>
                <w:rFonts w:ascii="Arial" w:cs="Arial" w:eastAsia="Arial" w:hAnsi="Arial"/>
                <w:sz w:val="18"/>
                <w:szCs w:val="18"/>
                <w:color w:val="auto"/>
              </w:rPr>
              <w:t>422,587</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Xu</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422,587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422,587</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Chardan Capital Markets(2)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288,337</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180" w:type="dxa"/>
            <w:vAlign w:val="bottom"/>
          </w:tcPr>
          <w:p>
            <w:pPr>
              <w:jc w:val="right"/>
              <w:spacing w:after="0"/>
              <w:rPr>
                <w:sz w:val="20"/>
                <w:szCs w:val="20"/>
                <w:color w:val="auto"/>
              </w:rPr>
            </w:pPr>
            <w:r>
              <w:rPr>
                <w:rFonts w:ascii="Arial" w:cs="Arial" w:eastAsia="Arial" w:hAnsi="Arial"/>
                <w:sz w:val="18"/>
                <w:szCs w:val="18"/>
                <w:color w:val="auto"/>
              </w:rPr>
              <w:t>288,337</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Riley FBR, Inc.</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1,723,590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1,723,590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70"/>
        </w:trPr>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5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jc w:val="both"/>
        <w:ind w:left="340" w:hanging="332"/>
        <w:spacing w:after="0" w:line="279"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Beneficial ownership and percentage ownership are determined in accordance with the rules of the Securities and Exchange Commission. In calculating the number of shares beneficially owned and the percentage ownership of a Selling Stockholder, shares underlying options held by the Selling Stockholders that are either currently exercisable or exercisable within 60 days from June 17, 2019 are deemed outstanding. These shares, however, are not deemed outstanding for the purpose of computing the percentage ownership of any other Selling Stockholders.</w:t>
      </w:r>
    </w:p>
    <w:p>
      <w:pPr>
        <w:spacing w:after="0" w:line="171"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Kerry Propper has voting and dispositive power over the shares owned by Chardan Capital Markets, LLC. Benenficial Ownership includes 275,000 shares underlying a unit purchase 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Stockholders and any of their pledgees, donees, assignees and successors-in-interest may, from time to time, sell any or all of their shares of common stock being offered under this prospectus on any stock exchange, market or trading facility on which shares of our common stock are traded or in private transactions. These sales may be at fixed or negotiated prices. The Selling Stockholders may use any one or more of the following methods when disposing of the shares: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resales by the broker-dealer for its account;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cover short sales made after the date that the registration statement of which this prospectus is a part is declared effective by the SEC;</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of these methods of sale;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may also be sold under Rule 144 under the Securities Act of 1933, as amended, if available for a Selling Stockholder, rather than under this prospectus. The Selling Stockholders have the sole and absolute discretion not to accept any purchase offer or make any sale of shares if they deem the purchase price to be unsatisfactory at any particular time.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Stockholders may pledge their shares to its brokers under the margin provisions of customer agreements. If a Selling Stockholder defaults on a margin loan, the broker may, from time to time, offer and sell the pledged shares.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sales of shares offered under this prospectus are made to or through underwriters and broker-dealers as principals, we would be required to file a post-effective amendment to the registration statement of which this prospectus is a part. In the post-effective amendment, we would be required to disclose the names of any participating underwriters broker-dealers and the compensation arrangements relating to such sales.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Stockholders and any broker-dealers or agents that are involved in selling the shares offered under this prospectus may be deemed to be “underwriters” within the meaning of the Securities Act in connection with these sales. Commissions received by these broker-dealers or agents and any profit on the resale of the shares purchased by them may be deemed to be underwriting commissions or discounts under the Securities Act. Any broker-dealers or agents that are deemed to be underwriters may not sell shares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and any other persons participating in the sale or distribution of the shares offered under this prospectus will be subject to applicable provisions of the Exchange Act, and the rules and regulations under that act, including Regulation M. These provisions may restrict activities of, and limit the timing of purchases and sales of any of the shares by, the Selling Stockholders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shares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any of the Selling Stockholders will sell all or any portion of the shares offered under this prospectus.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pay all fees and expenses we incur incident to the registration of the shares being offered under this prospectus. However, the Selling Stockholders and purchaser is responsible for paying any discounts, commissions and similar selling expenses it incurs.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and the Selling Stockholders have agreed to indemnify one another against certain losses, damages and liabilities arising in connection with this prospectus,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761"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Unless otherwise indicated in the applicable prospectus supplement, the validity of the securities offered hereby will be passed upon for us by Loeb &amp; Loeb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audited financial statements as of and for the two years ended December 31, 2018 have been incorporated by reference in this prospectus in reliance upon the report of Friedman LLP, an independent registered public accounting firm and their authority as experts in accounting and auditing.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ON LIABILITY AND DISCLOSURE OF COMMISSION POSITION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11"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Section 145 of the DGCL provides that we may indemnify any person who was or is a party or is threatened to be made a party to any threatened, pending or completed action, suit or proceeding, whether civil, criminal or investigative (other than an action by us or in our right) by reason of the fact that he is or was our director, officer, employee or agent, or is or was serving at our request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acted in good faith and in a manner he or she reasonably believed to be in or not opposed to our best interests, and, with respect to any criminal action or proceeding, had no reasonable cause to believe his or her conduct was unlawful. Section 145 further provides that we similarly may indemnify any such person serving in any such capacity who was or is a party or is threatened to be made a party to any threatened, pending or completed action or suit by is or in our right to procure judgment in our favor, against expenses actually and reasonably incurred in connection with the defense or settlement of such action or suit if he or she acted in good faith and in a manner he reasonably believed to be in or not opposed to our best interests and except that no indemnification shall be made in respect of any claim, issue or matter as to which such person shall have been adjudged to be liable to us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In the event that a claim for indemnification against such liabilities, other than the payment by us of expenses incurred or paid by such director, officer or controlling person in the successful defense of any action, lawsuit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certificate of incorporation, as amended, limits the liability of our directors to the fullest extent permitted by Delaware law. In addition, we have entered into indemnification agreements with certain of our directors and officers whereby we have agreed to indemnify those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the our company, provided that such director or officer acted in good faith and in a manner that the director or officer reasonably believed to be in, or not opposed to, the best interests of our company.</w:t>
      </w:r>
    </w:p>
    <w:p>
      <w:pPr>
        <w:spacing w:after="0" w:line="1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director and officer liability insurance to cover liabilities our directors and officers may incur in connection with their services to us, including matters arising under the Securities Act. Our certificate of incorporation and bylaws also provide that we will indemnify our directors and officers who, by reason of the fact that he or she is one of our officers or directors of our company, is involved in any action, suit or proceeding, whether civil, criminal, administrative or investigative related to their board role with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prospectus and any subsequent prospectus supplements do not contain all of the information in the Registration Statement. We have omitted from this prospectus some parts of the Registration Statement as permitted by the rules and regulations of the SEC. Statements in this prospectus concerning any document we have filed as an exhibit to the Registration Statement or that we otherwise filed with the SEC are not intended to be comprehensive and are qualified in their entirety by reference to these filings. In addition, we file annual, quarterly and current reports, proxy statements and other information with the SEC. The SEC maintains an Internet site that contains reports, proxy and information statements and other information that we file electronically with the SEC, including us. The SEC’s Internet site can be found at http://www.sec.gov. In addition, we make available on or through our Internet site copies of these reports as soon as reasonably practicable after we electronically file or furnished them to the SEC. Our Internet site can be found at http:www.hffoodsgroup.com. Our website is not a part of this prospectus.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elected to incorporate certain information by reference into this prospectus. By incorporating by reference, we can disclose important information to you by referring you to other documents we have filed or will file with the SEC. The information incorporated by reference is deemed to be part of this prospectus, except for information incorporated by reference that is superseded by information contained in this prospectus. This means that you must look at all of the SEC filings that we incorporate by reference to determine if any statements in the prospectus or any document previously incorporated by reference have been modified or superseded. This prospectus incorporates by reference the documents set forth below that we have previously filed with the SEC:</w:t>
      </w:r>
    </w:p>
    <w:p>
      <w:pPr>
        <w:spacing w:after="0" w:line="15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 on Form 8-K dated May 31, 2019, filed with the SEC on June 4, 2019;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 on Form 8-K dated April 18, 2019, filed with the SEC on April 24, 2019;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2019, filed with the SEC on May 15, 2019;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2018, filed with the SEC on April 1, 2019;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definitive proxy statement for the 2019 Annual Meeting of Stockholders, filed with the SEC on April 30, 2019;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Registration Statement on Form 8-A12B filed on August 8, 2017.</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documents subsequently filed by the Registrant with the SEC pursuant to Sections 13(a), 13(c), 14 and 15(d) of the Exchange Act after the date of the initial filing of the registration statement and prior to effectiveness of the registration statement that contains this prospectus and prior to the termination of the offering (except in each case the information contained in such document to the extent “furnish” and not “filed”), shall be deemed to be incorporated by reference herein and to be a part hereof from the date of filing of such documents.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1,723,590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HF FOODS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27, 2019</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information different from that contained in this prospectus or any prospectus supplement. This prospectus is not an offer of these securities in any jurisdiction where an offer and sale is not permitted. The information contained in this prospectus is accurate only as of the date of this prospectus, regardless of the time of delivery of this prospectus or any sale of our common stock.</w:t>
      </w:r>
    </w:p>
    <w:sectPr>
      <w:pgSz w:w="11900" w:h="16838" w:orient="portrait"/>
      <w:cols w:equalWidth="0" w:num="1">
        <w:col w:w="11420"/>
      </w:cols>
      <w:pgMar w:left="24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2019-12-01T08:39:24Z</dcterms:created>
  <dcterms:modified xsi:type="dcterms:W3CDTF">2019-12-01T08:39:24Z</dcterms:modified>
</cp:coreProperties>
</file>