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April 7, 2025</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333-283937</w:t>
      </w:r>
    </w:p>
    <w:p>
      <w:pPr>
        <w:jc w:val="center"/>
        <w:spacing w:after="0" w:line="230" w:lineRule="auto"/>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3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38735</wp:posOffset>
            </wp:positionV>
            <wp:extent cx="1191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PRE-EFFECTIVE AMENDMENT NO. 1 TO</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24"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UNDER</w:t>
      </w:r>
    </w:p>
    <w:p>
      <w:pPr>
        <w:jc w:val="center"/>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jc w:val="center"/>
        <w:spacing w:after="0" w:line="233" w:lineRule="auto"/>
        <w:rPr>
          <w:sz w:val="20"/>
          <w:szCs w:val="20"/>
          <w:color w:val="auto"/>
        </w:rPr>
      </w:pPr>
      <w:r>
        <w:rPr>
          <w:rFonts w:ascii="Times New Roman" w:cs="Times New Roman" w:eastAsia="Times New Roman" w:hAnsi="Times New Roman"/>
          <w:sz w:val="32"/>
          <w:szCs w:val="32"/>
          <w:b w:val="1"/>
          <w:bCs w:val="1"/>
          <w:color w:val="auto"/>
        </w:rPr>
        <w:t>HF FOODS GROUP INC.</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840" w:type="dxa"/>
        <w:tblCellMar>
          <w:top w:w="0" w:type="dxa"/>
          <w:left w:w="0" w:type="dxa"/>
          <w:bottom w:w="0" w:type="dxa"/>
          <w:right w:w="0" w:type="dxa"/>
        </w:tblCellMar>
      </w:tblPr>
      <w:tr>
        <w:trPr>
          <w:trHeight w:val="229"/>
        </w:trPr>
        <w:tc>
          <w:tcPr>
            <w:tcW w:w="2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6325 South Rainbow Boulevard Suite 420</w:t>
            </w:r>
          </w:p>
        </w:tc>
        <w:tc>
          <w:tcPr>
            <w:tcW w:w="20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81-2717873</w:t>
            </w:r>
          </w:p>
        </w:tc>
      </w:tr>
      <w:tr>
        <w:trPr>
          <w:trHeight w:val="184"/>
        </w:trPr>
        <w:tc>
          <w:tcPr>
            <w:tcW w:w="238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92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Las Vegas, Nevada, 89118</w:t>
            </w:r>
          </w:p>
        </w:tc>
        <w:tc>
          <w:tcPr>
            <w:tcW w:w="2040" w:type="dxa"/>
            <w:vAlign w:val="bottom"/>
          </w:tcPr>
          <w:p>
            <w:pPr>
              <w:jc w:val="center"/>
              <w:ind w:left="310"/>
              <w:spacing w:after="0" w:line="184" w:lineRule="exact"/>
              <w:rPr>
                <w:sz w:val="20"/>
                <w:szCs w:val="20"/>
                <w:color w:val="auto"/>
              </w:rPr>
            </w:pPr>
            <w:r>
              <w:rPr>
                <w:rFonts w:ascii="Times New Roman" w:cs="Times New Roman" w:eastAsia="Times New Roman" w:hAnsi="Times New Roman"/>
                <w:sz w:val="18"/>
                <w:szCs w:val="18"/>
                <w:color w:val="auto"/>
              </w:rPr>
              <w:t>(I.R.S. Employer</w:t>
            </w:r>
          </w:p>
        </w:tc>
      </w:tr>
      <w:tr>
        <w:trPr>
          <w:trHeight w:val="175"/>
        </w:trPr>
        <w:tc>
          <w:tcPr>
            <w:tcW w:w="238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rPr>
              <w:t>incorporation or</w:t>
            </w:r>
          </w:p>
        </w:tc>
        <w:tc>
          <w:tcPr>
            <w:tcW w:w="3340" w:type="dxa"/>
            <w:vAlign w:val="bottom"/>
            <w:gridSpan w:val="2"/>
          </w:tcPr>
          <w:p>
            <w:pPr>
              <w:jc w:val="center"/>
              <w:ind w:left="13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(888) 905-0988</w:t>
            </w:r>
          </w:p>
        </w:tc>
        <w:tc>
          <w:tcPr>
            <w:tcW w:w="1580" w:type="dxa"/>
            <w:vAlign w:val="bottom"/>
          </w:tcPr>
          <w:p>
            <w:pPr>
              <w:spacing w:after="0"/>
              <w:rPr>
                <w:sz w:val="15"/>
                <w:szCs w:val="15"/>
                <w:color w:val="auto"/>
              </w:rPr>
            </w:pPr>
          </w:p>
        </w:tc>
        <w:tc>
          <w:tcPr>
            <w:tcW w:w="204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99"/>
              </w:rPr>
              <w:t>Identification Number)</w:t>
            </w:r>
          </w:p>
        </w:tc>
      </w:tr>
      <w:tr>
        <w:trPr>
          <w:trHeight w:val="184"/>
        </w:trPr>
        <w:tc>
          <w:tcPr>
            <w:tcW w:w="238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color w:val="auto"/>
                <w:w w:val="97"/>
              </w:rPr>
              <w:t>organization)</w:t>
            </w:r>
          </w:p>
        </w:tc>
        <w:tc>
          <w:tcPr>
            <w:tcW w:w="492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(Address, including zip code, and telephone</w:t>
            </w:r>
          </w:p>
        </w:tc>
        <w:tc>
          <w:tcPr>
            <w:tcW w:w="2040" w:type="dxa"/>
            <w:vAlign w:val="bottom"/>
          </w:tcPr>
          <w:p>
            <w:pPr>
              <w:spacing w:after="0"/>
              <w:rPr>
                <w:sz w:val="16"/>
                <w:szCs w:val="16"/>
                <w:color w:val="auto"/>
              </w:rPr>
            </w:pPr>
          </w:p>
        </w:tc>
      </w:tr>
      <w:tr>
        <w:trPr>
          <w:trHeight w:val="180"/>
        </w:trPr>
        <w:tc>
          <w:tcPr>
            <w:tcW w:w="2380" w:type="dxa"/>
            <w:vAlign w:val="bottom"/>
          </w:tcPr>
          <w:p>
            <w:pPr>
              <w:spacing w:after="0"/>
              <w:rPr>
                <w:sz w:val="15"/>
                <w:szCs w:val="15"/>
                <w:color w:val="auto"/>
              </w:rPr>
            </w:pPr>
          </w:p>
        </w:tc>
        <w:tc>
          <w:tcPr>
            <w:tcW w:w="4920" w:type="dxa"/>
            <w:vAlign w:val="bottom"/>
            <w:gridSpan w:val="3"/>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number, including area code, of registrant’s</w:t>
            </w:r>
          </w:p>
        </w:tc>
        <w:tc>
          <w:tcPr>
            <w:tcW w:w="2040" w:type="dxa"/>
            <w:vAlign w:val="bottom"/>
          </w:tcPr>
          <w:p>
            <w:pPr>
              <w:spacing w:after="0"/>
              <w:rPr>
                <w:sz w:val="15"/>
                <w:szCs w:val="15"/>
                <w:color w:val="auto"/>
              </w:rPr>
            </w:pPr>
          </w:p>
        </w:tc>
      </w:tr>
      <w:tr>
        <w:trPr>
          <w:trHeight w:val="234"/>
        </w:trPr>
        <w:tc>
          <w:tcPr>
            <w:tcW w:w="2380" w:type="dxa"/>
            <w:vAlign w:val="bottom"/>
          </w:tcPr>
          <w:p>
            <w:pPr>
              <w:spacing w:after="0"/>
              <w:rPr>
                <w:sz w:val="20"/>
                <w:szCs w:val="20"/>
                <w:color w:val="auto"/>
              </w:rPr>
            </w:pPr>
          </w:p>
        </w:tc>
        <w:tc>
          <w:tcPr>
            <w:tcW w:w="49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offices)</w:t>
            </w:r>
          </w:p>
        </w:tc>
        <w:tc>
          <w:tcPr>
            <w:tcW w:w="2040" w:type="dxa"/>
            <w:vAlign w:val="bottom"/>
          </w:tcPr>
          <w:p>
            <w:pPr>
              <w:spacing w:after="0"/>
              <w:rPr>
                <w:sz w:val="20"/>
                <w:szCs w:val="20"/>
                <w:color w:val="auto"/>
              </w:rPr>
            </w:pPr>
          </w:p>
        </w:tc>
      </w:tr>
      <w:tr>
        <w:trPr>
          <w:trHeight w:val="364"/>
        </w:trPr>
        <w:tc>
          <w:tcPr>
            <w:tcW w:w="2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Christine Chang</w:t>
            </w:r>
          </w:p>
        </w:tc>
        <w:tc>
          <w:tcPr>
            <w:tcW w:w="204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4920" w:type="dxa"/>
            <w:vAlign w:val="bottom"/>
            <w:gridSpan w:val="3"/>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General Counsel and Chief Compliance Officer</w:t>
            </w:r>
          </w:p>
        </w:tc>
        <w:tc>
          <w:tcPr>
            <w:tcW w:w="2040" w:type="dxa"/>
            <w:vAlign w:val="bottom"/>
          </w:tcPr>
          <w:p>
            <w:pPr>
              <w:spacing w:after="0"/>
              <w:rPr>
                <w:sz w:val="17"/>
                <w:szCs w:val="17"/>
                <w:color w:val="auto"/>
              </w:rPr>
            </w:pPr>
          </w:p>
        </w:tc>
      </w:tr>
      <w:tr>
        <w:trPr>
          <w:trHeight w:val="189"/>
        </w:trPr>
        <w:tc>
          <w:tcPr>
            <w:tcW w:w="2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40" w:type="dxa"/>
            <w:vAlign w:val="bottom"/>
            <w:gridSpan w:val="2"/>
          </w:tcPr>
          <w:p>
            <w:pPr>
              <w:jc w:val="center"/>
              <w:ind w:right="16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HF Foods Group Inc.</w:t>
            </w:r>
          </w:p>
        </w:tc>
        <w:tc>
          <w:tcPr>
            <w:tcW w:w="2040" w:type="dxa"/>
            <w:vAlign w:val="bottom"/>
          </w:tcPr>
          <w:p>
            <w:pPr>
              <w:spacing w:after="0"/>
              <w:rPr>
                <w:sz w:val="16"/>
                <w:szCs w:val="16"/>
                <w:color w:val="auto"/>
              </w:rPr>
            </w:pPr>
          </w:p>
        </w:tc>
      </w:tr>
      <w:tr>
        <w:trPr>
          <w:trHeight w:val="203"/>
        </w:trPr>
        <w:tc>
          <w:tcPr>
            <w:tcW w:w="2380" w:type="dxa"/>
            <w:vAlign w:val="bottom"/>
          </w:tcPr>
          <w:p>
            <w:pPr>
              <w:spacing w:after="0"/>
              <w:rPr>
                <w:sz w:val="17"/>
                <w:szCs w:val="17"/>
                <w:color w:val="auto"/>
              </w:rPr>
            </w:pPr>
          </w:p>
        </w:tc>
        <w:tc>
          <w:tcPr>
            <w:tcW w:w="4920" w:type="dxa"/>
            <w:vAlign w:val="bottom"/>
            <w:gridSpan w:val="3"/>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rPr>
              <w:t>6325 South Rainbow Boulevard, Suite 420</w:t>
            </w:r>
          </w:p>
        </w:tc>
        <w:tc>
          <w:tcPr>
            <w:tcW w:w="2040" w:type="dxa"/>
            <w:vAlign w:val="bottom"/>
          </w:tcPr>
          <w:p>
            <w:pPr>
              <w:spacing w:after="0"/>
              <w:rPr>
                <w:sz w:val="17"/>
                <w:szCs w:val="17"/>
                <w:color w:val="auto"/>
              </w:rPr>
            </w:pPr>
          </w:p>
        </w:tc>
      </w:tr>
      <w:tr>
        <w:trPr>
          <w:trHeight w:val="189"/>
        </w:trPr>
        <w:tc>
          <w:tcPr>
            <w:tcW w:w="2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40" w:type="dxa"/>
            <w:vAlign w:val="bottom"/>
            <w:gridSpan w:val="2"/>
          </w:tcPr>
          <w:p>
            <w:pPr>
              <w:jc w:val="center"/>
              <w:ind w:right="16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Las Vegas, NV 89118</w:t>
            </w:r>
          </w:p>
        </w:tc>
        <w:tc>
          <w:tcPr>
            <w:tcW w:w="2040" w:type="dxa"/>
            <w:vAlign w:val="bottom"/>
          </w:tcPr>
          <w:p>
            <w:pPr>
              <w:spacing w:after="0"/>
              <w:rPr>
                <w:sz w:val="16"/>
                <w:szCs w:val="16"/>
                <w:color w:val="auto"/>
              </w:rPr>
            </w:pPr>
          </w:p>
        </w:tc>
      </w:tr>
      <w:tr>
        <w:trPr>
          <w:trHeight w:val="207"/>
        </w:trPr>
        <w:tc>
          <w:tcPr>
            <w:tcW w:w="2380" w:type="dxa"/>
            <w:vAlign w:val="bottom"/>
          </w:tcPr>
          <w:p>
            <w:pPr>
              <w:spacing w:after="0"/>
              <w:rPr>
                <w:sz w:val="17"/>
                <w:szCs w:val="17"/>
                <w:color w:val="auto"/>
              </w:rPr>
            </w:pPr>
          </w:p>
        </w:tc>
        <w:tc>
          <w:tcPr>
            <w:tcW w:w="334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(888) 905-0988</w:t>
            </w:r>
          </w:p>
        </w:tc>
        <w:tc>
          <w:tcPr>
            <w:tcW w:w="15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492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(Name, address, including zip code, and telephone number,</w:t>
            </w:r>
          </w:p>
        </w:tc>
        <w:tc>
          <w:tcPr>
            <w:tcW w:w="2040" w:type="dxa"/>
            <w:vAlign w:val="bottom"/>
          </w:tcPr>
          <w:p>
            <w:pPr>
              <w:spacing w:after="0"/>
              <w:rPr>
                <w:sz w:val="17"/>
                <w:szCs w:val="17"/>
                <w:color w:val="auto"/>
              </w:rPr>
            </w:pPr>
          </w:p>
        </w:tc>
      </w:tr>
      <w:tr>
        <w:trPr>
          <w:trHeight w:val="234"/>
        </w:trPr>
        <w:tc>
          <w:tcPr>
            <w:tcW w:w="2380" w:type="dxa"/>
            <w:vAlign w:val="bottom"/>
          </w:tcPr>
          <w:p>
            <w:pPr>
              <w:spacing w:after="0"/>
              <w:rPr>
                <w:sz w:val="20"/>
                <w:szCs w:val="20"/>
                <w:color w:val="auto"/>
              </w:rPr>
            </w:pPr>
          </w:p>
        </w:tc>
        <w:tc>
          <w:tcPr>
            <w:tcW w:w="49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including area code, of agent for service)</w:t>
            </w:r>
          </w:p>
        </w:tc>
        <w:tc>
          <w:tcPr>
            <w:tcW w:w="2040" w:type="dxa"/>
            <w:vAlign w:val="bottom"/>
          </w:tcPr>
          <w:p>
            <w:pPr>
              <w:spacing w:after="0"/>
              <w:rPr>
                <w:sz w:val="20"/>
                <w:szCs w:val="20"/>
                <w:color w:val="auto"/>
              </w:rPr>
            </w:pPr>
          </w:p>
        </w:tc>
      </w:tr>
      <w:tr>
        <w:trPr>
          <w:trHeight w:val="68"/>
        </w:trPr>
        <w:tc>
          <w:tcPr>
            <w:tcW w:w="23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580" w:type="dxa"/>
            <w:vAlign w:val="bottom"/>
          </w:tcPr>
          <w:p>
            <w:pPr>
              <w:spacing w:after="0"/>
              <w:rPr>
                <w:sz w:val="5"/>
                <w:szCs w:val="5"/>
                <w:color w:val="auto"/>
              </w:rPr>
            </w:pPr>
          </w:p>
        </w:tc>
        <w:tc>
          <w:tcPr>
            <w:tcW w:w="2040" w:type="dxa"/>
            <w:vAlign w:val="bottom"/>
          </w:tcPr>
          <w:p>
            <w:pPr>
              <w:spacing w:after="0"/>
              <w:rPr>
                <w:sz w:val="5"/>
                <w:szCs w:val="5"/>
                <w:color w:val="auto"/>
              </w:rPr>
            </w:pPr>
          </w:p>
        </w:tc>
      </w:tr>
      <w:tr>
        <w:trPr>
          <w:trHeight w:val="363"/>
        </w:trPr>
        <w:tc>
          <w:tcPr>
            <w:tcW w:w="2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4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2040" w:type="dxa"/>
            <w:vAlign w:val="bottom"/>
          </w:tcPr>
          <w:p>
            <w:pPr>
              <w:spacing w:after="0"/>
              <w:rPr>
                <w:sz w:val="24"/>
                <w:szCs w:val="24"/>
                <w:color w:val="auto"/>
              </w:rPr>
            </w:pPr>
          </w:p>
        </w:tc>
      </w:tr>
      <w:tr>
        <w:trPr>
          <w:trHeight w:val="189"/>
        </w:trPr>
        <w:tc>
          <w:tcPr>
            <w:tcW w:w="2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40" w:type="dxa"/>
            <w:vAlign w:val="bottom"/>
            <w:gridSpan w:val="2"/>
          </w:tcPr>
          <w:p>
            <w:pPr>
              <w:jc w:val="center"/>
              <w:ind w:right="1580"/>
              <w:spacing w:after="0" w:line="189" w:lineRule="exact"/>
              <w:rPr>
                <w:sz w:val="20"/>
                <w:szCs w:val="20"/>
                <w:color w:val="auto"/>
              </w:rPr>
            </w:pPr>
            <w:r>
              <w:rPr>
                <w:rFonts w:ascii="Times New Roman" w:cs="Times New Roman" w:eastAsia="Times New Roman" w:hAnsi="Times New Roman"/>
                <w:sz w:val="18"/>
                <w:szCs w:val="18"/>
                <w:b w:val="1"/>
                <w:bCs w:val="1"/>
                <w:color w:val="auto"/>
              </w:rPr>
              <w:t>Christopher Peterson</w:t>
            </w:r>
          </w:p>
        </w:tc>
        <w:tc>
          <w:tcPr>
            <w:tcW w:w="2040" w:type="dxa"/>
            <w:vAlign w:val="bottom"/>
          </w:tcPr>
          <w:p>
            <w:pPr>
              <w:spacing w:after="0"/>
              <w:rPr>
                <w:sz w:val="16"/>
                <w:szCs w:val="16"/>
                <w:color w:val="auto"/>
              </w:rPr>
            </w:pPr>
          </w:p>
        </w:tc>
      </w:tr>
      <w:tr>
        <w:trPr>
          <w:trHeight w:val="203"/>
        </w:trPr>
        <w:tc>
          <w:tcPr>
            <w:tcW w:w="2380" w:type="dxa"/>
            <w:vAlign w:val="bottom"/>
          </w:tcPr>
          <w:p>
            <w:pPr>
              <w:spacing w:after="0"/>
              <w:rPr>
                <w:sz w:val="17"/>
                <w:szCs w:val="17"/>
                <w:color w:val="auto"/>
              </w:rPr>
            </w:pPr>
          </w:p>
        </w:tc>
        <w:tc>
          <w:tcPr>
            <w:tcW w:w="4920" w:type="dxa"/>
            <w:vAlign w:val="bottom"/>
            <w:gridSpan w:val="3"/>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rPr>
              <w:t>Arnold &amp; Porter Kaye Scholer LLP</w:t>
            </w:r>
          </w:p>
        </w:tc>
        <w:tc>
          <w:tcPr>
            <w:tcW w:w="20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40" w:type="dxa"/>
            <w:vAlign w:val="bottom"/>
            <w:gridSpan w:val="2"/>
          </w:tcPr>
          <w:p>
            <w:pPr>
              <w:jc w:val="center"/>
              <w:ind w:right="15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250 West 55th Street</w:t>
            </w:r>
          </w:p>
        </w:tc>
        <w:tc>
          <w:tcPr>
            <w:tcW w:w="2040" w:type="dxa"/>
            <w:vAlign w:val="bottom"/>
          </w:tcPr>
          <w:p>
            <w:pPr>
              <w:spacing w:after="0"/>
              <w:rPr>
                <w:sz w:val="17"/>
                <w:szCs w:val="17"/>
                <w:color w:val="auto"/>
              </w:rPr>
            </w:pPr>
          </w:p>
        </w:tc>
      </w:tr>
      <w:tr>
        <w:trPr>
          <w:trHeight w:val="189"/>
        </w:trPr>
        <w:tc>
          <w:tcPr>
            <w:tcW w:w="2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40" w:type="dxa"/>
            <w:vAlign w:val="bottom"/>
            <w:gridSpan w:val="2"/>
          </w:tcPr>
          <w:p>
            <w:pPr>
              <w:jc w:val="center"/>
              <w:ind w:right="16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2040" w:type="dxa"/>
            <w:vAlign w:val="bottom"/>
          </w:tcPr>
          <w:p>
            <w:pPr>
              <w:spacing w:after="0"/>
              <w:rPr>
                <w:sz w:val="16"/>
                <w:szCs w:val="16"/>
                <w:color w:val="auto"/>
              </w:rPr>
            </w:pPr>
          </w:p>
        </w:tc>
      </w:tr>
      <w:tr>
        <w:trPr>
          <w:trHeight w:val="238"/>
        </w:trPr>
        <w:tc>
          <w:tcPr>
            <w:tcW w:w="2380" w:type="dxa"/>
            <w:vAlign w:val="bottom"/>
          </w:tcPr>
          <w:p>
            <w:pPr>
              <w:spacing w:after="0"/>
              <w:rPr>
                <w:sz w:val="20"/>
                <w:szCs w:val="20"/>
                <w:color w:val="auto"/>
              </w:rPr>
            </w:pPr>
          </w:p>
        </w:tc>
        <w:tc>
          <w:tcPr>
            <w:tcW w:w="334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(212) 836-8861</w:t>
            </w:r>
          </w:p>
        </w:tc>
        <w:tc>
          <w:tcPr>
            <w:tcW w:w="158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w:t>
      </w:r>
      <w:r>
        <w:rPr>
          <w:rFonts w:ascii="Times New Roman" w:cs="Times New Roman" w:eastAsia="Times New Roman" w:hAnsi="Times New Roman"/>
          <w:sz w:val="17"/>
          <w:szCs w:val="17"/>
          <w:color w:val="auto"/>
        </w:rPr>
        <w:t>: From time to time after this Registration Statement becomes effective.</w:t>
      </w:r>
    </w:p>
    <w:p>
      <w:pPr>
        <w:spacing w:after="0" w:line="3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74" w:lineRule="exact"/>
        <w:rPr>
          <w:sz w:val="24"/>
          <w:szCs w:val="24"/>
          <w:color w:val="auto"/>
        </w:rPr>
      </w:pPr>
    </w:p>
    <w:p>
      <w:pPr>
        <w:ind w:right="300"/>
        <w:spacing w:after="0" w:line="209"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as amended (“Securities Act”),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ind w:right="240"/>
        <w:spacing w:after="0" w:line="216"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ind w:right="140"/>
        <w:spacing w:after="0" w:line="216"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ind w:right="260"/>
        <w:spacing w:after="0" w:line="216"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24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(Check one):</w:t>
      </w:r>
    </w:p>
    <w:p>
      <w:pPr>
        <w:sectPr>
          <w:pgSz w:w="11900" w:h="16838" w:orient="portrait"/>
          <w:cols w:equalWidth="0" w:num="1">
            <w:col w:w="11240"/>
          </w:cols>
          <w:pgMar w:left="320" w:top="630" w:right="339" w:bottom="1440" w:gutter="0" w:footer="0" w:header="0"/>
        </w:sectPr>
      </w:pPr>
    </w:p>
    <w:p>
      <w:pPr>
        <w:spacing w:after="0" w:line="33"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both"/>
        <w:ind w:right="740"/>
        <w:spacing w:after="0" w:line="258"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4">
            <w:col w:w="2080" w:space="720"/>
            <w:col w:w="2100" w:space="720"/>
            <w:col w:w="2100" w:space="720"/>
            <w:col w:w="2800"/>
          </w:cols>
          <w:pgMar w:left="320" w:top="630" w:right="339" w:bottom="1440" w:gutter="0" w:footer="0" w:header="0"/>
          <w:type w:val="continuous"/>
        </w:sectPr>
      </w:pPr>
    </w:p>
    <w:p>
      <w:pPr>
        <w:ind w:right="100"/>
        <w:spacing w:after="0" w:line="244"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type w:val="continuous"/>
        </w:sectPr>
      </w:pPr>
    </w:p>
    <w:bookmarkStart w:id="1" w:name="page2"/>
    <w:bookmarkEnd w:id="1"/>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Amendment No. 1 (this “Amendment”) to the Registration Statement on Form S-3 (File No 333-283937) (the “Registration Statement”) of HF Foods Group Inc. (the “Company”) is being filed solely for the purpose of replacing the consent of the Company’s independent registered public accounting firm, BDO USA, P.C. (“BDO”), that was previously filed as Exhibit 23.1 to the Registration Statement, with the consent of BDO filed herewith as Exhibit 23.1 (the “Auditor’s Consent”), and to amend the “Experts” and “Information Incorporated by Reference” sections of the prospectus. This Amendment does not modify any other part of the Registration Statement.</w:t>
      </w:r>
    </w:p>
    <w:p>
      <w:pPr>
        <w:sectPr>
          <w:pgSz w:w="11900" w:h="16838" w:orient="portrait"/>
          <w:cols w:equalWidth="0" w:num="1">
            <w:col w:w="11180"/>
          </w:cols>
          <w:pgMar w:left="320" w:top="1440" w:right="399" w:bottom="1440" w:gutter="0" w:footer="0" w:header="0"/>
        </w:sectPr>
      </w:pPr>
    </w:p>
    <w:bookmarkStart w:id="2" w:name="page3"/>
    <w:bookmarkEnd w:id="2"/>
    <w:p>
      <w:pPr>
        <w:ind w:right="2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prospectus is not complete and may be changed. The selling stockholders may not sell these securities until the registration statement filed with the Securities and Exchange Commission is declared effective. This prospectus is not an offer to sell these securities and the selling stockholders are not soliciting an offer to buy these securities in any jurisdiction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1665F"/>
        </w:rPr>
        <w:t>SUBJECT TO COMPLETION, DATED APRIL 7,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HF FOODS GROUP INC.</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Up to 5,200,000 Shares of Common Stock</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 Resale 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selling stockholders of up to 5,200,000 shares of our common stock, par value $0.0001 per share, either individually or in units and in one or more transactions. The shares of common stock registered for resale pursuant to this prospectus were issued (i) as consideration in acquisition transactions, (ii) as consideration pursuant to that certain Merger Agreement dated as of June 21, 2019, by and among HF Foods Group Inc. (the “Company”), B&amp;R Merger Sub Inc., a Delaware corporation, B&amp;R Global Holdings, Inc., the stockholders of B&amp;R Global Holdings, Inc., and Xiao Mou Zhang (aka Peter Zhang) as representative of the stockholders, (iii) as consideration pursuant to that certain Merger Agreement, dated as of March 28, 2018, by and among Atlantic Acquisition Corp., HF Group Merger Sub Inc., a Delaware subsidiary formed by Atlantic Acquisition Corp., HF Group Holding Corporation, a North Carolina corporation, the stockholders of HF Group Holding Corporation, and Zhou Min Ni, as representative of the stockholders; (iv) as consideration pursuant to that certain Asset Purchase Agreement, dated December 30, 2021, by and among Great Wall Seafood Supply, Inc., Great Wall Restaurant Supplier, Inc., First Mart Inc., the Company, Great Wall Seafood IL, L.L.C., Great Wall Seafood TX, L.L.C., Bo Chuan Wong and Qiu Xian Li; (v) as consideration pursuant to that certain Asset Purchase Agreement, dated as of April 19, 2022, by and among Sealand Food, Inc., Connie Wang, Jenny Wang and Great Wall Seafood VA, L.L.C. and the Company; and (vi) upon the settlement of certain equity awards granted pursuant to the Company’s equity incentive plans.</w:t>
      </w:r>
    </w:p>
    <w:p>
      <w:pPr>
        <w:spacing w:after="0" w:line="13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registering the shares of our common stock on behalf of the selling stockholders, to be offered and sold by them from time to time. We are not selling any securities under this prospectus and will not receive any of the proceeds from the sale of shares by the selling stockholders.</w:t>
      </w:r>
    </w:p>
    <w:p>
      <w:pPr>
        <w:spacing w:after="0" w:line="108"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This prospectus provides a general description of the common stock the selling stockholders may offer. The selling stockholders may sell the shares of our common stock described in this prospectus in a number of different ways and at varying prices. See the section titled “</w:t>
      </w:r>
      <w:r>
        <w:rPr>
          <w:rFonts w:ascii="Times New Roman" w:cs="Times New Roman" w:eastAsia="Times New Roman" w:hAnsi="Times New Roman"/>
          <w:sz w:val="17"/>
          <w:szCs w:val="17"/>
          <w:u w:val="single" w:color="auto"/>
          <w:color w:val="0000FF"/>
        </w:rPr>
        <w:t>Plan of Distribution</w:t>
      </w:r>
      <w:r>
        <w:rPr>
          <w:rFonts w:ascii="Times New Roman" w:cs="Times New Roman" w:eastAsia="Times New Roman" w:hAnsi="Times New Roman"/>
          <w:sz w:val="17"/>
          <w:szCs w:val="17"/>
          <w:color w:val="auto"/>
        </w:rPr>
        <w:t xml:space="preserve">” on page </w:t>
      </w:r>
      <w:r>
        <w:rPr>
          <w:rFonts w:ascii="Times New Roman" w:cs="Times New Roman" w:eastAsia="Times New Roman" w:hAnsi="Times New Roman"/>
          <w:sz w:val="17"/>
          <w:szCs w:val="17"/>
          <w:u w:val="single" w:color="auto"/>
          <w:color w:val="0000FF"/>
        </w:rPr>
        <w:t>16</w:t>
      </w:r>
      <w:r>
        <w:rPr>
          <w:rFonts w:ascii="Times New Roman" w:cs="Times New Roman" w:eastAsia="Times New Roman" w:hAnsi="Times New Roman"/>
          <w:sz w:val="17"/>
          <w:szCs w:val="17"/>
          <w:color w:val="auto"/>
        </w:rPr>
        <w:t xml:space="preserve"> of this prospectus for more information about how the selling stockholders may sell the shares of common stock being registered pursuant to this prospectus.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paying certain expenses incurred in registering the shares of common stock, including certain legal, accounting fees and registration fees. The selling stockholders will bear all underwriting discounts, selling commissions and similar fees and arrangements and stock transfer taxes allocable to their respective sales of the shares of our common stock and certain additional legal and advisor fees.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(the “NASDAQ”) under the symbol “HFFG.” The applicable prospectus supplement will contain information, where applicable, as to any other listing, if any, on the NASDAQ or any securities market or other exchange of the securities covered by the applicable prospectus supplement. On April 4, 2025, the last reported sale price of our common stock on NASDAQ was $3.98 per share.</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6</w:t>
      </w:r>
      <w:r>
        <w:rPr>
          <w:rFonts w:ascii="Times New Roman" w:cs="Times New Roman" w:eastAsia="Times New Roman" w:hAnsi="Times New Roman"/>
          <w:sz w:val="18"/>
          <w:szCs w:val="18"/>
          <w:b w:val="1"/>
          <w:bCs w:val="1"/>
          <w:color w:val="auto"/>
        </w:rPr>
        <w:t xml:space="preserve"> of this prospectus and contained in the applicable prospectus supplement and any related free writing prospectus, and under similar headings in the other documents that are incorporated by reference into this prospectus.</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0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The date of this prospectus is _________, 2025</w:t>
      </w:r>
    </w:p>
    <w:p>
      <w:pPr>
        <w:sectPr>
          <w:pgSz w:w="11900" w:h="16838" w:orient="portrait"/>
          <w:cols w:equalWidth="0" w:num="1">
            <w:col w:w="11240"/>
          </w:cols>
          <w:pgMar w:left="320" w:top="927" w:right="339" w:bottom="1440" w:gutter="0" w:footer="0" w:header="0"/>
        </w:sectPr>
      </w:pPr>
    </w:p>
    <w:bookmarkStart w:id="3" w:name="page4"/>
    <w:bookmarkEnd w:id="3"/>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8"/>
              </w:rPr>
              <w:t>ABOUT THIS PROSPECTUS</w:t>
            </w:r>
          </w:p>
        </w:tc>
        <w:tc>
          <w:tcPr>
            <w:tcW w:w="8120" w:type="dxa"/>
            <w:vAlign w:val="bottom"/>
            <w:gridSpan w:val="7"/>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6"/>
            <w:vMerge w:val="continue"/>
          </w:tcPr>
          <w:p>
            <w:pPr>
              <w:spacing w:after="0"/>
              <w:rPr>
                <w:sz w:val="15"/>
                <w:szCs w:val="15"/>
                <w:color w:val="auto"/>
              </w:rPr>
            </w:pPr>
          </w:p>
        </w:tc>
        <w:tc>
          <w:tcPr>
            <w:tcW w:w="8120" w:type="dxa"/>
            <w:vAlign w:val="bottom"/>
            <w:gridSpan w:val="7"/>
            <w:vMerge w:val="continue"/>
          </w:tcPr>
          <w:p>
            <w:pPr>
              <w:spacing w:after="0"/>
              <w:rPr>
                <w:sz w:val="15"/>
                <w:szCs w:val="15"/>
                <w:color w:val="auto"/>
              </w:rPr>
            </w:pPr>
          </w:p>
        </w:tc>
        <w:tc>
          <w:tcPr>
            <w:tcW w:w="8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TRADEMARKS, SERVICE MARKS AND TRADE NAMES</w:t>
            </w:r>
          </w:p>
        </w:tc>
        <w:tc>
          <w:tcPr>
            <w:tcW w:w="584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INDUSTRY AND MARKET DATA</w:t>
            </w:r>
          </w:p>
        </w:tc>
        <w:tc>
          <w:tcPr>
            <w:tcW w:w="1860" w:type="dxa"/>
            <w:vAlign w:val="bottom"/>
            <w:gridSpan w:val="4"/>
          </w:tcPr>
          <w:p>
            <w:pPr>
              <w:spacing w:after="0"/>
              <w:rPr>
                <w:sz w:val="18"/>
                <w:szCs w:val="18"/>
                <w:color w:val="auto"/>
              </w:rPr>
            </w:pPr>
          </w:p>
        </w:tc>
        <w:tc>
          <w:tcPr>
            <w:tcW w:w="584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PROSPECTUS SUMMARY</w:t>
            </w:r>
          </w:p>
        </w:tc>
        <w:tc>
          <w:tcPr>
            <w:tcW w:w="560" w:type="dxa"/>
            <w:vAlign w:val="bottom"/>
            <w:gridSpan w:val="2"/>
          </w:tcPr>
          <w:p>
            <w:pPr>
              <w:spacing w:after="0"/>
              <w:rPr>
                <w:sz w:val="18"/>
                <w:szCs w:val="18"/>
                <w:color w:val="auto"/>
              </w:rPr>
            </w:pPr>
          </w:p>
        </w:tc>
        <w:tc>
          <w:tcPr>
            <w:tcW w:w="770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0" w:type="dxa"/>
            <w:vAlign w:val="bottom"/>
            <w:gridSpan w:val="3"/>
          </w:tcPr>
          <w:p>
            <w:pPr>
              <w:spacing w:after="0"/>
              <w:rPr>
                <w:sz w:val="18"/>
                <w:szCs w:val="18"/>
                <w:color w:val="auto"/>
              </w:rPr>
            </w:pPr>
          </w:p>
        </w:tc>
        <w:tc>
          <w:tcPr>
            <w:tcW w:w="8260" w:type="dxa"/>
            <w:vAlign w:val="bottom"/>
            <w:gridSpan w:val="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50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OUR CAPITAL STOCK</w:t>
            </w:r>
          </w:p>
        </w:tc>
        <w:tc>
          <w:tcPr>
            <w:tcW w:w="7060" w:type="dxa"/>
            <w:vAlign w:val="bottom"/>
            <w:gridSpan w:val="5"/>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SELLING STOCKHOLDERS</w:t>
            </w:r>
          </w:p>
        </w:tc>
        <w:tc>
          <w:tcPr>
            <w:tcW w:w="1060" w:type="dxa"/>
            <w:vAlign w:val="bottom"/>
            <w:gridSpan w:val="2"/>
          </w:tcPr>
          <w:p>
            <w:pPr>
              <w:spacing w:after="0"/>
              <w:rPr>
                <w:sz w:val="18"/>
                <w:szCs w:val="18"/>
                <w:color w:val="auto"/>
              </w:rPr>
            </w:pPr>
          </w:p>
        </w:tc>
        <w:tc>
          <w:tcPr>
            <w:tcW w:w="7060" w:type="dxa"/>
            <w:vAlign w:val="bottom"/>
            <w:gridSpan w:val="5"/>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8260" w:type="dxa"/>
            <w:vAlign w:val="bottom"/>
            <w:gridSpan w:val="8"/>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2"/>
          </w:tcPr>
          <w:p>
            <w:pPr>
              <w:spacing w:after="0"/>
              <w:rPr>
                <w:sz w:val="18"/>
                <w:szCs w:val="18"/>
                <w:color w:val="auto"/>
              </w:rPr>
            </w:pPr>
          </w:p>
        </w:tc>
        <w:tc>
          <w:tcPr>
            <w:tcW w:w="8900" w:type="dxa"/>
            <w:vAlign w:val="bottom"/>
            <w:gridSpan w:val="10"/>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540" w:type="dxa"/>
            <w:vAlign w:val="bottom"/>
            <w:gridSpan w:val="4"/>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INFORMATION INCORPORATED BY REFERENCE</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4" w:name="page5"/>
    <w:bookmarkEnd w:id="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using a “shelf” registration process. Under this shelf registration process, the selling stockholders, which as used herein include donees, pledgees, transferees, distributees or other successors-in-interest selling shares of our common stock or interests in our common stock received after the date of this prospectus from the selling stockholders as a gift, pledge, partnership distribution or other transfer identified in this prospectus, may offer and sell up to up to 5,200,000 shares of our common stock. This prospectus provides a general description of the shares of our common stock the selling stockholders may offer. We are not selling any securities under this prospectus and will not receive any of the proceeds from the sale of shares by the selling stockholders. For general information about the distribution of shares of common stock offered by the selling stockholders, see the section in this prospectus titled “Plan of Distribution.”</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prospectus supplement or post-effective amendment may also add, update or change information included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or incorporated by reference in this prospectus, any applicable prospectus supplement, post-effective amendment or any related free writing prospectus. See “Where You Can Find More Information” and “Information Incorporated by Reference.”</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or any prospectus supplement. Neither we nor the selling stockholders have authorized any other person to provide you with different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previously filed with the SEC and incorporated by reference, is accurate as of the date of those documents only. Our business, financial condition, results of operations and prospects may have changed since those dates.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and all of such summaries are qualified in their entirety by the actual documents they purport to summarize.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and “Information Incorporated by Reference.”</w:t>
      </w:r>
    </w:p>
    <w:p>
      <w:pPr>
        <w:spacing w:after="0" w:line="1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this prospectus, unless otherwise indicated, “the Company,” “HF Foods Group,” “we,” “us” or “our” refer to HF Foods Group Inc.,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40" w:right="379" w:bottom="1440" w:gutter="0" w:footer="0" w:header="0"/>
        </w:sectPr>
      </w:pPr>
    </w:p>
    <w:bookmarkStart w:id="5" w:name="page6"/>
    <w:bookmarkEnd w:id="5"/>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herein contains some of our trademarks, service marks and trade names, including, among others, the HF black and white/color logos, Rong, Rong GREEN LEAF, Great Wall logos, &lt;333&gt;, SEA333, SEA888, “Han Feng,” “Rong Cheng” and “Great Wall.” Each one of these trademarks, service marks or trade names is either (1) our registered trademark, (2) a trademark for which we have a pending application, or (3) a trade name or service mark for which we claim common law rights. All other trademarks, service marks or trade names of any other company appearing in this prospectus or the information incorporated by reference herein belong to their respective owners. Solely for convenience, the trademarks, service marks and trade names referred to in this prospectus are presented without the TM, SM and symbols, but such references are not intended to indicate, in any way, that we will not assert, to the fullest extent permissible under applicable law, our respective rights or the rights of the applicable licensors to these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440" w:right="379" w:bottom="1440" w:gutter="0" w:footer="0" w:header="0"/>
        </w:sectPr>
      </w:pPr>
    </w:p>
    <w:bookmarkStart w:id="6" w:name="page7"/>
    <w:bookmarkEnd w:id="6"/>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throughout this prospectus and the information incorporated by reference herein are based on independent industry publications, government publications and other published independent sources. Although we believe these third-party sources are reliable as of their respective dates, we have not independently verified the accuracy or completeness of this information. Some data is also based on our good faith estimates. While we are not aware of any misstatements regarding our industry data presented herein, our estimates involve risks and uncertainties and are subject to change based on various factors, including those discussed under “Risk Factors.” These and other factors could cause results to differ materially from those expressed in these publications.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20" w:top="1440" w:right="3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i w:val="1"/>
          <w:iCs w:val="1"/>
          <w:color w:val="auto"/>
        </w:rPr>
        <w:t>This prospectus summary highlights certain information about our company and other information contained elsewhere in this prospectus or in documents incorporated by reference. This summary does not contain all of the information that you should consider before making an investment decision. You should carefully read the entire prospectus, any prospectus supplement, including the section entitled “Risk Factors” and the documents incorporated by reference into this prospectus, before making an investment decision.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registration process, the selling stockholders to be identified in a prospectus supplement may offer up to 5,200,000 shares of our common stock, from time to time in one or more offerings under this prospectus, at prices and on terms to be determined by market conditions at the time of any offering. This prospectus provides you with a general description of the common stock the selling stockholders may offer.</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selling stockholders may sell shares of our common stock directly to investors or to or through agents, underwriters or dealers. The selling stockholders and their agents or underwriters reserve the right to accept or reject all or part of any proposed purchase of shares our common stock. If the selling stockholders do offer shares of our common stock to or through agents or underwriters, a prospectus supplement, if required, will be distributed, which will include, among other things:</w:t>
      </w:r>
    </w:p>
    <w:p>
      <w:pPr>
        <w:spacing w:after="0" w:line="126" w:lineRule="exact"/>
        <w:rPr>
          <w:sz w:val="20"/>
          <w:szCs w:val="20"/>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 and</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and details regarding options to purchase additional shares, if any.</w:t>
      </w:r>
    </w:p>
    <w:p>
      <w:pPr>
        <w:spacing w:after="0" w:line="17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may suspend the sale of our shares of common stock by the selling stockholders pursuant to this prospectus for certain periods of time for certain reasons, including if the prospectus is required to be supplemented or amended to include additional material information.</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of record on all matters submitted to a vote of stockholders. Subject to preferences that may be applicable to any then-outstanding shares of preferred stock, the holders of common stock are entitled to receive ratably such dividends as may be declared by our board of directors out of legally available funds. Upon our liquidation, dissolution or winding up, the holders of our common stock are entitled to share ratably in all assets remaining after payment of liabilities and the liquidation preferences of any then-outstanding shares of preferred stock. Holders of our common stock have no preemptive rights and no right to convert their common stock into any other securities.</w:t>
      </w:r>
    </w:p>
    <w:p>
      <w:pPr>
        <w:spacing w:after="0" w:line="13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 In this prospectus, we have summarized certain general features of our common stock under the section titled “Description of Capital Stock - Common Stock.” You should read both this prospectus and any prospectus supplement together with the additional information described under the heading “Where You Can Find More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HF Foods Group Inc., operating through our subsidiaries, is a leading foodservice distributor to Asian restaurants, primarily Chinese restaurants located throughout the United States. HF Foods was formed through a merger between two complementary market leaders, HF Foods and B&amp;R Global Holdings, Inc., on November 4, 2019. In 2022, HF Foods acquired two frozen seafood suppliers, expanding its distribution network in Illinois, Texas and along the eastern seaboard, from Massachusetts to Florida, as well as Pennsylvania, West Virginia, Ohio, Kentucky, and Tennessee.</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With 19 distribution centers and cross-docks and a fleet of over 400 refrigerated vehicles, our distribution network now spans 46 states covering approximately 95% of the contiguous United States. Capitalizing on our deep</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80"/>
          </w:cols>
          <w:pgMar w:left="1000" w:top="1440" w:right="10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904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390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understanding of the Chinese culture, with over 1,000 employees and subcontractors, and supported by two outsourced call centers in China, we have become a trusted partner serving approximately 15,000 Asian restaurants providing sales and service support to customers who mainly converse in Mandarin or Chinese dialects.</w:t>
      </w:r>
    </w:p>
    <w:p>
      <w:pPr>
        <w:spacing w:after="0" w:line="12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are committed to providing excellent customer service by delivering a distinctive product portfolio built from an indelible partnership with both foreign and domestic suppliers. These relationships ensure that we deliver an outstanding array of products at competitive prices. Our relationships with suppliers and knowledge of the market are the cornerstones of our negotiating power with suppliers and enable us to better manage potential supply chain disruptions and stockouts, gain price concessions and increase delivery schedules.</w:t>
      </w:r>
    </w:p>
    <w:p>
      <w:pPr>
        <w:spacing w:after="0" w:line="1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business features nineteen strategically positioned distribution centers and cross-docks with over one million square feet of warehouse space and a fleet of over 400 vehicles to provide a wide variety of products with a strong focus on Asian specialty food ingredients essential for Asian cooking. Supported by an extensive supplier network, we aim to provide a one-stop service with on-time delivery and high fulfillment rates, at competitive pricing.</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offer over 2,000 different products to our customers, which include virtually all items needed to operate their restaurant business. Product offerings range from meat and poultry, perishable fresh produce, frozen seafood, general commodities and takeout food packaging materials to meet our customers’ demands. The majority of our procurement currently consists of goods purchased domestically, such as meat, poultry, produce and certain key commodities. We also purchase a significant amount of goods through the import channel, such as frozen seafood, Asian Specialty, packaging and other commodities.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6325 South Rainbow Boulevard, Suite 420, Las Vegas, NV. Our website is located at www.hffoodsgroup.com, and our telephone number is (888) 905-0988. Information found on, or accessible through, our website is not a part of, and is not incorporated into, this prospectus, and you should not consider it part of this prospectus or part of any prospectus supplement. Our website address is included in this document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900"/>
          </w:cols>
          <w:pgMar w:left="1000" w:top="1440" w:right="999" w:bottom="1440" w:gutter="0" w:footer="0" w:header="0"/>
        </w:sectPr>
      </w:pPr>
    </w:p>
    <w:bookmarkStart w:id="9" w:name="page10"/>
    <w:bookmarkEnd w:id="9"/>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The prospectus supplement applicable to a particular offering of securities will contain a discussion of the risks applicable to an investment in HF Foods Group and to the particular types of securities that we are offering under that prospectus supplement. Before making an investment decision, you should carefully consider the risks described under “Risk Factors” in the applicable prospectus supplement and the risks described under Item 1A of Part I in our most recent Annual Report on Form 10-K for the year ended December 31, 2023, which is incorporated herein by reference, or any updates in our Quarterly Reports on Form 10-Q, together with all of the other information appearing in or incorporated by reference into this prospectus and any applicable prospectus supplement, in light of your particular investment objectives and financial circumstances. Our business, financial condition or results of operations could be materially adversely affected by any of these risks. The trading price of our securities could decline due to any of these risks, and you may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1440" w:right="439" w:bottom="1440" w:gutter="0" w:footer="0" w:header="0"/>
        </w:sectPr>
      </w:pPr>
    </w:p>
    <w:bookmarkStart w:id="10" w:name="page11"/>
    <w:bookmarkEnd w:id="10"/>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Important factors that could cause actual results to differ materially from our expectations, or cautionary statements, include without limitation:</w:t>
      </w:r>
    </w:p>
    <w:p>
      <w:pPr>
        <w:spacing w:after="0" w:line="13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margins in the foodservice distribution industry and periods of significant or prolonged inflation or deflation;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labor shortages;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in the United States;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foodservice distribution industry particularly the entry of new competitors into the Chinese/Asian restaurant supply market niche;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fuel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relationships with vendors and increases in product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the timely delivery of products from vendors, particularly the prolonged diminution of global supply chains;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or other pandemics;</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taken by the governments where our suppliers are located, including the People’s Republic of China, to address the COVID-19 pandemic or other pandemics;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relationships with or loss of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eating and dining out habits;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 and possible conflicts of interests;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 and variable interest entities consolidation;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or replace our current warehouse leases on favorable terms, or terminations prior to expiration of stated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and other key personnel, particularly our CEO, President and COO, CFO and General Counsel and CCO;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enforcement of immigration laws;</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various federal, state and local rules and regulations regarding food safety, sanitation, transportation, minimum wage, overtime and other health and safety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1440" w:right="399" w:bottom="1440" w:gutter="0" w:footer="0" w:header="0"/>
        </w:sectPr>
      </w:pPr>
    </w:p>
    <w:bookmarkStart w:id="11" w:name="page12"/>
    <w:bookmarkEnd w:id="11"/>
    <w:p>
      <w:pPr>
        <w:spacing w:after="0" w:line="140" w:lineRule="exact"/>
        <w:rPr>
          <w:sz w:val="20"/>
          <w:szCs w:val="20"/>
          <w:color w:val="auto"/>
        </w:rPr>
      </w:pPr>
    </w:p>
    <w:p>
      <w:pPr>
        <w:ind w:left="660" w:right="7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voluntary recalls or withdrawals if any of the products we distribute are alleged to have caused illness, been mislabeled, misbranded or adulterated or to otherwise have violated applicable government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comply with environmental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investigations and potential enforcement 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tariffs on products imported into the United States, particularly from China;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natural disasters and adverse climate 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geopolitical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 security incident, other technology disruption or delay in implementing our information technology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indebtedness affecting our liquidity and ability of future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acquire other distributors or wholesalers and enlarge our customer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Scarcity of and competition for acquisition opportunities;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acquisition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non-cash charges relating to the amortization of intangible assets related to material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acquisition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debt in order to successfully implement our acquisition strategy;</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personnel, and assets of acquired businesses that may disrupt our business, dilute stockholder value, and adversely affect our operating results;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price and demand for our common stock resulting from the relative illiquidity of the market for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stockholders’ ability to significantly influence the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anti-takeover laws and related provisions in our governance documents;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in “Risk Factors”.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written and oral forward-looking statements attributable to us, or persons acting on our behalf, are expressly qualified in their entirety by these cautionary statements as well as other cautionary statements that are made from time to time in our other filings with the SEC and public communications. 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are made only as of the date hereof. Except as otherwise required by law, we undertake no obligation to update or revise any forward-looking statement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1440" w:right="439" w:bottom="1440" w:gutter="0" w:footer="0" w:header="0"/>
        </w:sectPr>
      </w:pPr>
    </w:p>
    <w:bookmarkStart w:id="12" w:name="page13"/>
    <w:bookmarkEnd w:id="12"/>
    <w:p>
      <w:pPr>
        <w:spacing w:after="0" w:line="1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Payment of cash dividends, if any, in the future will be at the discretion of our board of directors and will depend on applicable law and then-existing conditions, including our financial condition, operating results, contractual restrictions, capital requirements, business prospects and other factors our board of directors may deem relevant. We currently intend to retain all available funds and any future earnings to fund the development and growth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320" w:top="1440" w:right="579" w:bottom="1440" w:gutter="0" w:footer="0" w:header="0"/>
        </w:sectPr>
      </w:pPr>
    </w:p>
    <w:bookmarkStart w:id="13" w:name="page14"/>
    <w:bookmarkEnd w:id="13"/>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shares of our common stock by the selling stockholders.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stockholders will pay any underwriting discounts and commissions and expenses incurred by the selling stockholders for brokerage, accounting, tax or legal services or any other expenses incurred by the selling stockholders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1440" w:right="439" w:bottom="1440" w:gutter="0" w:footer="0" w:header="0"/>
        </w:sectPr>
      </w:pPr>
    </w:p>
    <w:bookmarkStart w:id="14" w:name="page15"/>
    <w:bookmarkEnd w:id="1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any applicable prospectus supplement, summarize all the material terms and provisions of the common stock that the selling stockholders may offer. If necessary, we will describe in the applicable prospectus supplement relating to a particular offering the specific terms of the common stock offered by that prospectus supplement. We will indicate in the applicable prospectus supplement if the terms of the common stock differs from the terms we have summarized below. We will also include in the prospectus supplement information, where applicable, material United States federal income tax considerations relating to the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following description of common stock and preferred stock, together with the additional information we include in any applicable prospectus supplement, summarizes the material terms and provisions of the common stock that the selling stockholders may offer under this prospectus but is not complete. For the complete terms of our common stock and preferred stock, please refer to our Second Amended and Restated Certificate of Incorporation, as may be amended from time to time (our “Charter”), any certificates of designation for our preferred stock, that may be authorized from time to time, and our Amended and Restated Bylaws, as amended from time to time (our “Bylaws”). The Delaware General Corporation Law (the “DGCL”) may also affect the terms of these securities. While the terms we have summarized below will apply generally to any future common stock or preferred stock that the selling stockholders may offer, we will describe the specific terms of any series of these securities in more detail in the applicable prospectus supplement. If we so indicate in a prospectus supplement, the terms of any common stock the selling stockholders offer under that prospectus supplement may differ from the terms we describe below.</w:t>
      </w:r>
    </w:p>
    <w:p>
      <w:pPr>
        <w:spacing w:after="0" w:line="13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November 7, 2024, our authorized capital stock consists of 100,000,000 shares of common stock, par value $0.0001 per share, of which 52,730,183 shares were issued and outstanding, and 1,000,000 shares of preferred stock, par value $0.001 per share, none of which were issued and outstanding. The authorized and unissued shares of common stock and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will not seek stockholder approval for the issuance and sale of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to be voted on by stockholders. The members of our board of directors will generally serve for a term of one year. Holders of our common stock are entitled to one vote per share on all matters voted on by the stockholders, including in connection with the election of directors, as provided by law. Holders of our common stock do not have cumulative voting rights. Except as otherwise required by the DGCL or our Charter and Bylaws, action requiring stockholder approval may be taken by a vote of the holders of a majority of the voting power of the shares of stock of the Company present in person or by proxy and entitled to vote on the relevant matter at a meeting at which a quorum is present.</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After satisfaction of any dividend rights of holders of preferred stock and subject to applicable law, if any, holders of common stock are entitled to receive dividends, if any, as may be declared from time to time by our board of directors in its discretion.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common stock have no preemptive, subscription, redemption, conversion or exchange rights and no sinking fund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 outstanding shares of our common stock are duly authorized, validly issued, fully paid and non-assessable. Additional shares of common stock may be issued, as authorized by our board of directors from time to time, without stockholder approval, except for any stockholder approval required by the NASDAQ.</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under the symbol “HFFG.” The transfer agent and registrar for our common stock is Equiniti Trust Company, LLC, New York, New York.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may determine or alter for each class of preferred stock the voting powers, designations, preferences, and special rights, qualifications, limitations, or restrictions as permitted by law. Our board of directors may authorize the issuance of preferred stock with voting or conversion rights that could adversely affect the voting power or other rights of the holders of the common stock. Having the ability to issue preferred stock provides flexibility in connection with possible acquisitions and other corporate purposes, but could also, among other things, have the effect of delaying, deferring or preventing a change in control of our company and may adversely affect the market price of our common stock and the voting and other rights of the holders of common stock.</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will fix the rights, preferences, privileges, qualifications and restrictions of the preferred stock of each series that we issue in the certificate of designation relating to that series. We will incorporate by reference into the registration statement of which this prospectus is a part the form of any certificate of designation that describes the terms of the series of preferred stock to be offered under this prospectus. This description of the preferred stock in the certificate of designation and any applicable prospectus supplement will include:</w:t>
      </w:r>
    </w:p>
    <w:p>
      <w:pPr>
        <w:spacing w:after="0" w:line="12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being offered;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shares may be purchased;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and, if applicable, the conversion period, the conversion price, or how it will be calculated, and under what circumstances it may be adjusted;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16" w:name="page17"/>
    <w:bookmarkEnd w:id="16"/>
    <w:p>
      <w:pPr>
        <w:spacing w:after="0" w:line="14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United States federal income tax considerations applicable to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171" w:lineRule="exact"/>
        <w:rPr>
          <w:sz w:val="20"/>
          <w:szCs w:val="20"/>
          <w:color w:val="auto"/>
        </w:rPr>
      </w:pPr>
    </w:p>
    <w:p>
      <w:pPr>
        <w:ind w:right="4420"/>
        <w:spacing w:after="0" w:line="464" w:lineRule="auto"/>
        <w:rPr>
          <w:sz w:val="20"/>
          <w:szCs w:val="20"/>
          <w:color w:val="auto"/>
        </w:rPr>
      </w:pPr>
      <w:r>
        <w:rPr>
          <w:rFonts w:ascii="Times New Roman" w:cs="Times New Roman" w:eastAsia="Times New Roman" w:hAnsi="Times New Roman"/>
          <w:sz w:val="17"/>
          <w:szCs w:val="17"/>
          <w:color w:val="auto"/>
        </w:rPr>
        <w:t xml:space="preserve">When we issue shares of preferred stock, the shares will be fully paid and non-assessable. </w:t>
      </w:r>
      <w:r>
        <w:rPr>
          <w:rFonts w:ascii="Times New Roman" w:cs="Times New Roman" w:eastAsia="Times New Roman" w:hAnsi="Times New Roman"/>
          <w:sz w:val="17"/>
          <w:szCs w:val="17"/>
          <w:b w:val="1"/>
          <w:bCs w:val="1"/>
          <w:i w:val="1"/>
          <w:iCs w:val="1"/>
          <w:color w:val="auto"/>
        </w:rPr>
        <w:t>Certain Anti-Takeover Effects of Delaware Law and Provisions of Our Charter and Bylaws</w:t>
      </w:r>
    </w:p>
    <w:p>
      <w:pPr>
        <w:spacing w:after="0" w:line="266" w:lineRule="auto"/>
        <w:rPr>
          <w:sz w:val="20"/>
          <w:szCs w:val="20"/>
          <w:color w:val="auto"/>
        </w:rPr>
      </w:pPr>
      <w:r>
        <w:rPr>
          <w:rFonts w:ascii="Times New Roman" w:cs="Times New Roman" w:eastAsia="Times New Roman" w:hAnsi="Times New Roman"/>
          <w:sz w:val="18"/>
          <w:szCs w:val="18"/>
          <w:color w:val="auto"/>
        </w:rPr>
        <w:t>Some provisions of Delaware law, our Charter and our Bylaws could delay or discourage some transactions involving an actual or potential change in control of us or our management and may limit the ability of our stockholders to remove current management or approve transactions that our stockholders may deem to be in their best interests. These provisions:</w:t>
      </w:r>
    </w:p>
    <w:p>
      <w:pPr>
        <w:spacing w:after="0" w:line="12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our board of directors to issue any authorized but unissued shares of common stock without approval of stockholders;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establish one or more series of preferred stock, the terms of which can be determined by our board of directors at the time of issuance;</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advanced written notice procedure with respect to stockholder proposals and the nomination of candidates for election as directors, other than nominations made by or at the direction of our board of directors, subject to the rights of stockholders to request inclusion of proposals in our proxy statement pursuant to Rule 14a-8 under the Exchange Act (or any successor provision of law);</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special meetings of our stockholders may be called only by the Chairman of our board of directors, our President, or at the request of a majority of our board of directors;</w:t>
      </w:r>
    </w:p>
    <w:p>
      <w:pPr>
        <w:spacing w:after="0" w:line="10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our directors, and not our stockholders, to fill vacancies on our board of directors, including vacancies resulting from removal or enlargement of our board of directors, unless such vacancies are created by the removal of a director by the stockholders;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our board of directors the authority to alter any provision of the Bylaws without a stockholder assent or vote; provided, however, that such authority of our board of directors is subject to the power of the stockholders to alter, amend, change, add to, repeal, rescind or make new Bylaws by the affirmative vote of the holders of at least a majority of the voting power of the outstanding shares entitled to vote thereon.</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DGCL, which is an anti-takeover law. In general, Section 203 prevents a publicly-held Delaware corporation from engaging in a “business combination” with any “interested stockholder” for a period of three years following the date that the person became an interested stockholder unless (1) its board of directors approved either the business combination or the transaction that resulted in the stockholder becoming an interested stockholder, (2) at least two-thirds of the outstanding shares not owned by that interested stockholder approve the business combination, or (3) upon becoming an interested stockholder, that stockholder owned at least 85% of the outstanding shares, excluding those held by officers, directors and some employee stock plans. In general,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320" w:top="1440" w:right="399" w:bottom="1440" w:gutter="0" w:footer="0" w:header="0"/>
        </w:sectPr>
      </w:pPr>
    </w:p>
    <w:bookmarkStart w:id="17" w:name="page18"/>
    <w:bookmarkEnd w:id="17"/>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Because of these provisions, persons considering unsolicited tender offers or other unilateral takeover proposals may be more likely to negotiate with our board of directors rather than pursue non-negotiated takeover attempts. As a result, these provisions may make it more difficult for our stockholders to benefit from transactions that are opposed by an incumbent board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Purchase Rights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April 11, 2023, our board of directors authorized and declared a dividend distribution of one right (each, a “Right”) for each outstanding share of common stock to stockholders of record as of the close of business on April 24, 2023 (the “Record Date”). Each Right entitles the registered holder to purchase from the Company one one-thousandth of a share of Series A Participating Preferred Stock, par value $0.001 per share (the “Series A Preferred Stock”), of the Company at an exercise price of $19.50 (the “Exercise Price”), subject to adjustment. On April 11, 2024, the expiration date of each Right was extended to April 11, 2025. The complete terms of the Rights are set forth in a Preferred Stock Rights Agreement (as amended, the “Rights Agreement”), dated as of April 11, 2023, between the Company and American Stock Transfer &amp; Trust Company, LLC (now known as Equiniti Trust Company, LLC), as rights agent.</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board of directors adopted the Rights Agreement to protect stockholders from coercive or otherwise unfair takeover tactics. The Rights Agreement functions by imposing a significant penalty upon any person or group that acquires fifteen percent (15%) or more of the shares of our common stock without the approval of the board of directors. As a result, the overall effect of the Rights Agreement and the issuance of the Rights may be to render more difficult or discourage a merger, tender or exchange offer or other business combination involving the Company that is not approved by the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144</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our restricted common stock for at least six months would be entitled to sell their shares of our common stock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required to file such reports) preceding the sale.</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our restricted common stock for at least six months but who are our affiliates at the time of, or at any time during the three months preceding, a sale would be subject to additional restrictions, by which such person would be entitled to sell within any three-month period only a number of shares of our common stock that does not exceed the greater of:</w:t>
      </w:r>
    </w:p>
    <w:p>
      <w:pPr>
        <w:spacing w:after="0" w:line="12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our common stock then outstanding; or</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common stock during the four calendar weeks preceding the filing of a notice on Form 144 with respect to the sale.</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by the availability of current public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20" w:top="1440" w:right="379" w:bottom="1440" w:gutter="0" w:footer="0" w:header="0"/>
        </w:sectPr>
      </w:pPr>
    </w:p>
    <w:bookmarkStart w:id="18" w:name="page19"/>
    <w:bookmarkEnd w:id="1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prospectus also relates to the possible resale by certain of our shareholders, who we refer to in this prospectus as the “selling stockholders,” of up to 5,200,000 shares of our common stock that were issued and outstanding prior to the original date of filing of the registration statement of which this prospectus forms a part. The selling stockholders acquired the shares of our common stock included in this prospectus:</w:t>
      </w:r>
    </w:p>
    <w:p>
      <w:pPr>
        <w:spacing w:after="0" w:line="1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in acquisition transactions;</w:t>
      </w:r>
    </w:p>
    <w:p>
      <w:pPr>
        <w:spacing w:after="0" w:line="171" w:lineRule="exact"/>
        <w:rPr>
          <w:rFonts w:ascii="Times New Roman" w:cs="Times New Roman" w:eastAsia="Times New Roman" w:hAnsi="Times New Roman"/>
          <w:sz w:val="18"/>
          <w:szCs w:val="18"/>
          <w:color w:val="auto"/>
        </w:rPr>
      </w:pPr>
    </w:p>
    <w:p>
      <w:pPr>
        <w:ind w:left="660" w:right="440" w:hanging="328"/>
        <w:spacing w:after="0" w:line="312"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consideration pursuant to that certain merger agreement dated as of June 21, 2019, by and among the Company, B&amp;R Merger Sub Inc., a Delaware corporation, B&amp;R Global Holdings, Inc., the stockholders of B&amp;R Global Holdings, Inc., and Xiao Mou Zhang (aka Peter Zhang);</w:t>
      </w:r>
    </w:p>
    <w:p>
      <w:pPr>
        <w:spacing w:after="0" w:line="85" w:lineRule="exact"/>
        <w:rPr>
          <w:rFonts w:ascii="Times New Roman" w:cs="Times New Roman" w:eastAsia="Times New Roman" w:hAnsi="Times New Roman"/>
          <w:sz w:val="17"/>
          <w:szCs w:val="17"/>
          <w:color w:val="auto"/>
        </w:rPr>
      </w:pPr>
    </w:p>
    <w:p>
      <w:pPr>
        <w:ind w:left="660" w:right="1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pursuant to that certain merger agreement, dated as of March 28, 2018, by and among Atlantic Acquisition Corp., HF Group Merger Sub Inc., a Delaware subsidiary formed by Atlantic Acquisition Corp., HF Group Holding Corporation, a North Carolina corporation, the stockholders of HF Group Holding Corporation, and Zhou Min Ni, as representative of the stockholders;</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pursuant to that certain Asset Purchase Agreement, dated December 30, 2021, by and among Great Wall Seafood Supply, Inc., Great Wall Restaurant Supplier, Inc., First Mart Inc., the Company, Great Wall Seafood IL, L.L.C., Great Wall Seafood TX, L.L.C., Bo Chuan Wong and Qiu Xian Li;</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pursuant to that certain Asset Purchase Agreement, dated as of April 19, 2022, by and among Sealand Food, Inc., Connie Wang, Jenny Wang and Great Wall Seafood VA, L.L.C. and the Company;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settlement of certain equity awards granted pursuant to the Company’s equity incentive plans.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Information about the selling stockholders, where applicable, including their identities, the number of shares of common stock owned by each selling stockholders prior to the offering, the number of shares of our common stock to be offered by each selling stockholders and the amount of common stock to be owned by each selling stockholders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3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selling stockholders may not sell any shares of our common stock pursuant to this prospectus until we have identified such selling stockholder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registering for resale by the selling stockholders up to 5,200,000 shares of common stock. The selling stockholders, which as used herein include donees, pledgees, transferees, distributees or other successors-in-interest selling shares of our common stock or interests in our common stock received after the date of this prospectus from the selling stockholders as a gift, pledge, partnership distribution or other transfer may, from time to time, sell, transfer, distribute or otherwise dispose of certain of their shares of common stock or interests in our common stock on any stock exchange, market or trading facility on which shares of our common stock are traded or in private transactions. These dispositions may be at fixed prices, at prevailing market prices at the time of sale, at prices related to the prevailing market price, at varying prices determined at the time of sale, or at negotiated prices. The applicable prospectus supplement will describe the terms of the offering of the securities, including:</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and if required, any dealers or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 or traded.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their shares of common stock or interests therein:</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of common stock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members, partners or shareholders;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of the registration statement of which this prospectus is a part is declared effective by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in-market transactions, including transactions on a national securities exchange or quotations service or over-the-counter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who may agree with the selling stockholders to sell a specified number of such shares of common stock at a stipulated price per share;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320" w:top="1440" w:right="399" w:bottom="1440" w:gutter="0" w:footer="0" w:header="0"/>
        </w:sectPr>
      </w:pPr>
    </w:p>
    <w:bookmarkStart w:id="20" w:name="page21"/>
    <w:bookmarkEnd w:id="20"/>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shares of our common stock owned by them and, if a selling stockholder defaults in the performance of its secured obligations, the pledgees or secured parties may offer and sell such shares of common stock from time to time, under this prospectus, or under an amendment or supplement to this prospectus amending the list of the selling stockholders to include the pledgee, transferee or other successors in interest as the selling stockholders under this prospectus. The selling stockholders also may transfer shares of our common stock in other circumstances, in which case the transferees, pledgees or other successors in interest will be the selling beneficial owners for purposes of this prospectus.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shares of our common stock or interests therein, the selling stockholders may enter into hedging transactions with broker-dealers or other financial institutions, which may in turn engage in short sales of our common stock in the course of hedging the positions they assume. The selling stockholders may also sell shares of our common stock short and deliver these securities to close out their short positions, or loan or pledge shares of our common stock to broker-dealers that in turn may sell these securities. The selling stockholders may also enter into option or other transactions with broker-dealers or other financial institutions or the creation of one or more derivative securities that require the delivery to such broker-dealer or other financial institution of shares of our common stock offered by this prospectus, which shares such broker-dealer or other financial institution may resell pursuant to this prospectus (as supplemented or amended to reflect such transaction).</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shares of our common stock offered by them will be the purchase price of such shares of our common stock less discounts or commissions, if any. The selling stockholders reserve the right to accept and, together with their agents from time to time, to reject, in whole or in part, any proposed purchase of shares of our common stock to be made directly or through agents. We will not receive any of the proceeds from any offering by the selling stockholders.</w:t>
      </w:r>
    </w:p>
    <w:p>
      <w:pPr>
        <w:spacing w:after="0" w:line="12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in the future resell a portion of our common stock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the extent required, our common stock to be sold, the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stockholders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the selling stockholders use a dealer in the sale of the securities being offered pursuant to this prospectus or any prospectus supplement, the selling stockholders will sell the securities to the dealer, as principal. The dealer may then resell the securities to the public at varying prices to be determined by the dealer at the time of resale. If required, the names of the dealers and the terms of the transaction will be specified in a prospectus supplement.</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selling stockholders may sell the securities directly or through agents they designated from time to time. If required, we will name any agent involved in the offering and sale of securities and we will describe any commissions paid to the agent in the applicable prospectus supplement.</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or the selling stockholders may authorize agents or underwriters to solicit offers by institutional investors to purchase securities from the selling stockholders at the public offering price set forth in the prospectus supplement pursuant to delayed delivery contracts providing for payment and delivery on a specified date in the future. If required, we will describe the conditions to these contracts and the commissions we must pay for solicitation of these contracts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4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us, the selling stockholders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for the purpose of resale or distribution, may be deemed to be underwriters, and any discounts or commissions received by them from us or the selling stockholders and any profit on the resale of the common stock by them may be deemed to be underwriting discounts and commissions under the Securities Act. No FINRA member firm may receive compensation in excess of that allowable under FINRA rules, including Rule 5110, in connection with the offering of the securities.</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or the selling stockholders may provide agents, underwriters and other purchasers with indemnification against particular civil liabilities, including liabilities under the Securities Act, or contribution with respect to payments that the agents, underwriters or other purchasers may make with respect to such liabilities. Agents and underwriters may engage in transactions with, or perform services for, us in the ordinary course of business.</w:t>
      </w:r>
    </w:p>
    <w:p>
      <w:pPr>
        <w:spacing w:after="0" w:line="1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To facilitate the public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common stock.</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Selling stockholders may use this prospectus in connection with resales of shares of our common stock. This prospectus and any accompanying prospectus supplement will identify the selling stockholders, the terms of our common stock and any material relationships between us and the selling stockholders. Selling stockholders may be deemed to be underwriters under the Securities Act in connection with shares of our common stock they resell and any profits on the sales may be deemed to be underwriting discounts and commissions under the Securities Act. Unless otherwise set forth in a prospectus supplement, the selling stockholders will receive all of the net proceeds from the resale of shares of our common stock.</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selling stockholder that is an entity may elect to make an in-kind distribution of common stock to its members, partners or shareholders pursuant to the registration statement of which this prospectus is a part by delivering a prospectus. To the extent that such members, partners or shareholders are not affiliates of ours, such members, partners or shareholders would thereby receive freely tradable shares of common stock pursuant to the distribution through a registration statement.</w:t>
      </w:r>
    </w:p>
    <w:p>
      <w:pPr>
        <w:spacing w:after="0" w:line="12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any common stock sold pursuant to a prospectus supplement will be eligible for trading as quoted on the NASDAQ. Any underwriters to whom securities are sold by the selling stockholders for public offering and sale may make a market in the securities, but such underwriters will not be obligated to do so and may discontinue any market making at any time without notice.</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hereby will be passed upon for us by Arnold &amp; Porter Kaye Scholer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HF Foods Group Inc. (the Company) as of December 31, 2024 and 2023 and for each of the three years in the period ended December 31, 2024 and management’s assessment of the effectiveness of internal control over financial reporting as of December 31, 2024 incorporated by reference in this Prospectus and in the Registration Statement have been so incorporated in reliance on the reports of BDO USA, P.C., an independent registered public accounting firm, given on the authority of said firm as experts in auditing and accounting. The report on the effectiveness of internal control over financial reporting expresses an adverse opinion on the effectiveness of the Company’s internal control over financial reporting as of December 31, 2024.</w:t>
      </w:r>
    </w:p>
    <w:p>
      <w:pPr>
        <w:spacing w:after="0" w:line="1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and any subsequent prospectus supplements do not contain all of the information in the Registration Statement. We have omitted from this prospectus some parts of the Registration Statement as permitted by the rules and regulations of the SEC. Statements in this prospectus concerning any document we have filed as an exhibit to the Registration Statement or that we otherwise filed with the SEC are not intended to be comprehensive and are qualified in their entirety by reference to these filings. In addition, we file annual, quarterly and current reports, proxy statements and other information with the SEC. The SEC maintains an Internet site that contains reports, proxy and information statements and other information that we file electronically with the SEC. The SEC’s Internet site can be found at https://www.sec.gov. In addition, we make available on or through our Internet site copies of these reports as soon as reasonably practicable after we electronically file or furnished them to the SEC. Our Internet site can be found at https://www.hffoodsgroup.com.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60"/>
          </w:cols>
          <w:pgMar w:left="320" w:top="1440" w:right="419" w:bottom="1440" w:gutter="0" w:footer="0" w:header="0"/>
        </w:sectPr>
      </w:pPr>
    </w:p>
    <w:bookmarkStart w:id="23" w:name="page24"/>
    <w:bookmarkEnd w:id="2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elected to incorporate certain information by reference into this prospectus. By incorporating by reference, we can disclose important information to you by referring you to other documents we have filed or will file with the SEC. The information incorporated by reference is deemed to be part of this prospectus, except for information incorporated by reference that is superseded by information contained in this prospectus. This means that you must look at all of the SEC filings that we incorporate by reference to determine if any statements in the prospectus or any document previously incorporated by reference have been modified or superseded. This prospectus incorporates by reference the documents set forth below that we have previously filed with the SEC:</w:t>
      </w:r>
    </w:p>
    <w:p>
      <w:pPr>
        <w:spacing w:after="0" w:line="13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2024, filed with the SEC on </w:t>
      </w:r>
      <w:hyperlink r:id="rId14">
        <w:r>
          <w:rPr>
            <w:rFonts w:ascii="Times New Roman" w:cs="Times New Roman" w:eastAsia="Times New Roman" w:hAnsi="Times New Roman"/>
            <w:sz w:val="18"/>
            <w:szCs w:val="18"/>
            <w:u w:val="single" w:color="auto"/>
            <w:color w:val="0000FF"/>
          </w:rPr>
          <w:t>March 17, 2025</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fiscal year ended December 31, 2023 from our Definitive Proxy Statement on Schedule 14A, filed with the SEC on </w:t>
      </w:r>
      <w:hyperlink r:id="rId15">
        <w:r>
          <w:rPr>
            <w:rFonts w:ascii="Times New Roman" w:cs="Times New Roman" w:eastAsia="Times New Roman" w:hAnsi="Times New Roman"/>
            <w:sz w:val="18"/>
            <w:szCs w:val="18"/>
            <w:u w:val="single" w:color="auto"/>
            <w:color w:val="0000FF"/>
          </w:rPr>
          <w:t>April 24, 2024;</w:t>
        </w:r>
      </w:hyperlink>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6">
        <w:r>
          <w:rPr>
            <w:rFonts w:ascii="Times New Roman" w:cs="Times New Roman" w:eastAsia="Times New Roman" w:hAnsi="Times New Roman"/>
            <w:sz w:val="18"/>
            <w:szCs w:val="18"/>
            <w:u w:val="single" w:color="auto"/>
            <w:color w:val="0000FF"/>
          </w:rPr>
          <w:t>February 18,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
        <w:r>
          <w:rPr>
            <w:rFonts w:ascii="Times New Roman" w:cs="Times New Roman" w:eastAsia="Times New Roman" w:hAnsi="Times New Roman"/>
            <w:sz w:val="18"/>
            <w:szCs w:val="18"/>
            <w:u w:val="single" w:color="auto"/>
            <w:color w:val="0000FF"/>
          </w:rPr>
          <w:t>March 13,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any portions thereof deemed furnished and not filed in accordance with SEC rules);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the Registration Statement on Form 8-A12B filed on </w:t>
      </w:r>
      <w:hyperlink r:id="rId18">
        <w:r>
          <w:rPr>
            <w:rFonts w:ascii="Times New Roman" w:cs="Times New Roman" w:eastAsia="Times New Roman" w:hAnsi="Times New Roman"/>
            <w:sz w:val="18"/>
            <w:szCs w:val="18"/>
            <w:u w:val="single" w:color="auto"/>
            <w:color w:val="0000FF"/>
          </w:rPr>
          <w:t>August 8, 2017</w:t>
        </w:r>
      </w:hyperlink>
      <w:r>
        <w:rPr>
          <w:rFonts w:ascii="Times New Roman" w:cs="Times New Roman" w:eastAsia="Times New Roman" w:hAnsi="Times New Roman"/>
          <w:sz w:val="18"/>
          <w:szCs w:val="18"/>
          <w:color w:val="auto"/>
        </w:rPr>
        <w:t xml:space="preserve">, including any amendments or reports filed for the purposes of updating such description, including </w:t>
      </w:r>
      <w:hyperlink r:id="rId19">
        <w:r>
          <w:rPr>
            <w:rFonts w:ascii="Times New Roman" w:cs="Times New Roman" w:eastAsia="Times New Roman" w:hAnsi="Times New Roman"/>
            <w:sz w:val="18"/>
            <w:szCs w:val="18"/>
            <w:u w:val="single" w:color="auto"/>
            <w:color w:val="0000FF"/>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122" w:lineRule="exact"/>
        <w:rPr>
          <w:rFonts w:ascii="Times New Roman" w:cs="Times New Roman" w:eastAsia="Times New Roman" w:hAnsi="Times New Roman"/>
          <w:sz w:val="18"/>
          <w:szCs w:val="18"/>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SEC pursuant to Sections 13(a), 13(c), 14 and 15(d) of the Exchange Act after the date of the initial filing of the registration statement and prior to effectiveness of the registration statement that contains this prospectus and prior to the termination of the offering (except in each case the information contained in such document to the extent “furnished” and not “filed”), shall be deemed to be incorporated by reference herein and to be a part hereof from the date of filing of such documents.</w:t>
      </w:r>
    </w:p>
    <w:p>
      <w:pPr>
        <w:spacing w:after="0" w:line="126"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HF FOODS GROUP INC.</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Up to 5,200,000 Shares of Common Stock</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Resale Offered by the Selling Stockholders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139700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issuance and distribution of the offered securities being registered hereby, other than underwriting discounts and commissions. All of the amounts shown are estimates except the Commission Registration Fee.</w:t>
      </w:r>
    </w:p>
    <w:p>
      <w:pPr>
        <w:sectPr>
          <w:pgSz w:w="11900" w:h="16838" w:orient="portrait"/>
          <w:cols w:equalWidth="0" w:num="1">
            <w:col w:w="11240"/>
          </w:cols>
          <w:pgMar w:left="320" w:top="1440" w:right="339" w:bottom="1440" w:gutter="0" w:footer="0" w:header="0"/>
        </w:sect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Miscellaneous expenses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expenses not presently known.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61" w:lineRule="exact"/>
        <w:rPr>
          <w:sz w:val="20"/>
          <w:szCs w:val="20"/>
          <w:color w:val="auto"/>
        </w:rPr>
      </w:pPr>
    </w:p>
    <w:p>
      <w:pPr>
        <w:ind w:left="800" w:hanging="795"/>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2,866</w:t>
      </w:r>
    </w:p>
    <w:p>
      <w:pPr>
        <w:spacing w:after="0" w:line="27"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0115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10115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43180</wp:posOffset>
            </wp:positionV>
            <wp:extent cx="1011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034" w:lineRule="exact"/>
        <w:rPr>
          <w:sz w:val="20"/>
          <w:szCs w:val="20"/>
          <w:color w:val="auto"/>
        </w:rPr>
      </w:pPr>
    </w:p>
    <w:p>
      <w:pPr>
        <w:sectPr>
          <w:pgSz w:w="11900" w:h="16838" w:orient="portrait"/>
          <w:cols w:equalWidth="0" w:num="2">
            <w:col w:w="8940" w:space="720"/>
            <w:col w:w="1580"/>
          </w:cols>
          <w:pgMar w:left="320" w:top="1440" w:right="339" w:bottom="1440" w:gutter="0" w:footer="0" w:header="0"/>
          <w:type w:val="continuous"/>
        </w:sectPr>
      </w:pPr>
    </w:p>
    <w:p>
      <w:pPr>
        <w:spacing w:after="0" w:line="255"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Bylaws provide that we will indemnify, to the fullest extent permitted by the DGCL, any person who was or is made or is threatened to be made a party or is otherwise involved in any action, suit, or proceeding,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actually and reasonably incurred by such person, subject to limited exceptions relating to indemnity in connection with a proceeding (or part thereof) initiated by such person. Our Bylaws that will be in effect upon completion of this offering will further provide for the advancement of expenses to each of our officers and directors.</w:t>
      </w:r>
    </w:p>
    <w:p>
      <w:pPr>
        <w:spacing w:after="0" w:line="12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Our Charter provides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w:t>
      </w:r>
    </w:p>
    <w:p>
      <w:pPr>
        <w:spacing w:after="0" w:line="1" w:lineRule="exact"/>
        <w:rPr>
          <w:sz w:val="20"/>
          <w:szCs w:val="20"/>
          <w:color w:val="auto"/>
        </w:rPr>
      </w:pPr>
    </w:p>
    <w:p>
      <w:pPr>
        <w:ind w:right="340" w:firstLine="8"/>
        <w:spacing w:after="0" w:line="255"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1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maintain directors and officers insurance policies which cover certain liabilities arising out of claims based on acts or omissions of our directors or officers in their capacities as directors or officers, whether or not we would have the power to indemnify such person against such liability under the DGCL or the provisions of our Charter or Bylaws.</w:t>
      </w:r>
    </w:p>
    <w:p>
      <w:pPr>
        <w:spacing w:after="0" w:line="12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our executive officers. These agreements will provide that we will indemnify each of our directors and such officers to the fullest extent permitted by law and by our Charter and Bylaws.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0" w:type="dxa"/>
            <w:vAlign w:val="bottom"/>
            <w:gridSpan w:val="14"/>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80" w:type="dxa"/>
            <w:vAlign w:val="bottom"/>
            <w:gridSpan w:val="22"/>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Second Amended and Restated Certificate of Incorporation (incorporated by reference to Exhibit 3.1.2 to the Current Report on Form 8-K</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filed with the SEC on November 5, 2019)</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80" w:type="dxa"/>
            <w:vAlign w:val="bottom"/>
            <w:gridSpan w:val="22"/>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Amended and Restated Bylaws (incorporated by reference to Exhibit 3.02 to the Current Report on Form 8-K filed with the SEC on</w:t>
              </w:r>
            </w:hyperlink>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November 4, 2022)</w:t>
              </w:r>
            </w:hyperlink>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80" w:type="dxa"/>
            <w:vAlign w:val="bottom"/>
            <w:gridSpan w:val="22"/>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Certificate of Designation of Rights, Preferences and Privileges of Series A Participating Preferred Stock (incorporated by reference to</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Exhibit 3.1 to the Current Report on Form 8-K filed with the SEC on April 12, 2023)</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80" w:type="dxa"/>
            <w:vAlign w:val="bottom"/>
            <w:gridSpan w:val="22"/>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First Amendment to Amended and Restated Bylaws, dated April 25, 2023 (incorporated by reference to Exhibit 3.1 to the Current Report on</w:t>
              </w:r>
            </w:hyperlink>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Form 8-K filed with the SEC on April 26, 2023)</w:t>
              </w:r>
            </w:hyperlink>
          </w:p>
        </w:tc>
        <w:tc>
          <w:tcPr>
            <w:tcW w:w="6640" w:type="dxa"/>
            <w:vAlign w:val="bottom"/>
            <w:tcBorders>
              <w:top w:val="single" w:sz="8" w:color="0000FF"/>
            </w:tcBorders>
            <w:gridSpan w:val="13"/>
          </w:tcPr>
          <w:p>
            <w:pPr>
              <w:spacing w:after="0"/>
              <w:rPr>
                <w:sz w:val="13"/>
                <w:szCs w:val="13"/>
                <w:color w:val="auto"/>
              </w:rPr>
            </w:pPr>
          </w:p>
        </w:tc>
        <w:tc>
          <w:tcPr>
            <w:tcW w:w="160" w:type="dxa"/>
            <w:vAlign w:val="bottom"/>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80" w:type="dxa"/>
            <w:vAlign w:val="bottom"/>
            <w:gridSpan w:val="22"/>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Specimen Common Stock Certificate (incorporated by reference to Exhibit 4.2 to the Registration Statement on Form S-1/A filed with the</w:t>
              </w:r>
            </w:hyperlink>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SEC on July 28, 2017)</w:t>
              </w:r>
            </w:hyperlink>
          </w:p>
        </w:tc>
        <w:tc>
          <w:tcPr>
            <w:tcW w:w="8300" w:type="dxa"/>
            <w:vAlign w:val="bottom"/>
            <w:tcBorders>
              <w:top w:val="single" w:sz="8" w:color="0000FF"/>
            </w:tcBorders>
            <w:gridSpan w:val="13"/>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Preferred Stock Rights Agreement, dated as of April 11, 2023, by and between HF Foods Group Inc. and American Stock Transfer &amp; Trust</w:t>
              </w:r>
            </w:hyperlink>
          </w:p>
        </w:tc>
        <w:tc>
          <w:tcPr>
            <w:tcW w:w="260" w:type="dxa"/>
            <w:vAlign w:val="bottom"/>
            <w:gridSpan w:val="3"/>
          </w:tcPr>
          <w:p>
            <w:pPr>
              <w:spacing w:after="0"/>
              <w:rPr>
                <w:sz w:val="19"/>
                <w:szCs w:val="19"/>
                <w:color w:val="auto"/>
              </w:rPr>
            </w:pPr>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gridSpan w:val="22"/>
          </w:tcPr>
          <w:p>
            <w:pPr>
              <w:spacing w:after="0" w:line="15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Company, LLC, as rights agent (incorporated by reference to Exhibit 4.1 to the Current Report on Form 8-K filed with the SEC on April 12,</w:t>
              </w:r>
            </w:hyperlink>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32">
              <w:r>
                <w:rPr>
                  <w:rFonts w:ascii="Times New Roman" w:cs="Times New Roman" w:eastAsia="Times New Roman" w:hAnsi="Times New Roman"/>
                  <w:sz w:val="18"/>
                  <w:szCs w:val="18"/>
                  <w:color w:val="0000FF"/>
                  <w:w w:val="95"/>
                </w:rPr>
                <w:t>2023)</w:t>
              </w:r>
            </w:hyperlink>
          </w:p>
        </w:tc>
        <w:tc>
          <w:tcPr>
            <w:tcW w:w="7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94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22"/>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Amendment to Preferred Stock Rights Agreement, dated as of April 11, 2024, by and between HF Foods Group Inc. and Equiniti Trust</w:t>
              </w:r>
            </w:hyperlink>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Company, LLC (f/k/a American Stock Transfer &amp; Trust Company, LLC), as rights agent (Incorporated by reference to Exhibit 4.2 of</w:t>
              </w:r>
            </w:hyperlink>
          </w:p>
        </w:tc>
        <w:tc>
          <w:tcPr>
            <w:tcW w:w="560" w:type="dxa"/>
            <w:vAlign w:val="bottom"/>
            <w:gridSpan w:val="6"/>
          </w:tcPr>
          <w:p>
            <w:pPr>
              <w:spacing w:after="0"/>
              <w:rPr>
                <w:sz w:val="13"/>
                <w:szCs w:val="13"/>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Amendment No. 2 to the Company's Registration Statement on Form 8-A filed with the SEC on April 12, 2024)</w:t>
              </w:r>
            </w:hyperlink>
          </w:p>
        </w:tc>
        <w:tc>
          <w:tcPr>
            <w:tcW w:w="740" w:type="dxa"/>
            <w:vAlign w:val="bottom"/>
            <w:gridSpan w:val="8"/>
          </w:tcPr>
          <w:p>
            <w:pPr>
              <w:spacing w:after="0"/>
              <w:rPr>
                <w:sz w:val="14"/>
                <w:szCs w:val="14"/>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Opinion of Arnold &amp; Porter Kaye Scholer LLP</w:t>
              </w:r>
            </w:hyperlink>
          </w:p>
        </w:tc>
        <w:tc>
          <w:tcPr>
            <w:tcW w:w="4660" w:type="dxa"/>
            <w:vAlign w:val="bottom"/>
            <w:tcBorders>
              <w:top w:val="single" w:sz="8" w:color="0000FF"/>
            </w:tcBorders>
            <w:gridSpan w:val="5"/>
          </w:tcPr>
          <w:p>
            <w:pPr>
              <w:spacing w:after="0"/>
              <w:rPr>
                <w:sz w:val="18"/>
                <w:szCs w:val="18"/>
                <w:color w:val="auto"/>
              </w:rPr>
            </w:pPr>
          </w:p>
        </w:tc>
        <w:tc>
          <w:tcPr>
            <w:tcW w:w="2220" w:type="dxa"/>
            <w:vAlign w:val="bottom"/>
            <w:gridSpan w:val="10"/>
          </w:tcPr>
          <w:p>
            <w:pPr>
              <w:spacing w:after="0"/>
              <w:rPr>
                <w:sz w:val="18"/>
                <w:szCs w:val="18"/>
                <w:color w:val="auto"/>
              </w:rPr>
            </w:pPr>
          </w:p>
        </w:tc>
      </w:tr>
      <w:tr>
        <w:trPr>
          <w:trHeight w:val="21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Consent of BDO USA, P.C.</w:t>
            </w:r>
          </w:p>
        </w:tc>
        <w:tc>
          <w:tcPr>
            <w:tcW w:w="8280" w:type="dxa"/>
            <w:vAlign w:val="bottom"/>
            <w:gridSpan w:val="17"/>
          </w:tcPr>
          <w:p>
            <w:pPr>
              <w:spacing w:after="0"/>
              <w:rPr>
                <w:sz w:val="18"/>
                <w:szCs w:val="18"/>
                <w:color w:val="auto"/>
              </w:rPr>
            </w:pPr>
          </w:p>
        </w:tc>
      </w:tr>
      <w:tr>
        <w:trPr>
          <w:trHeight w:val="21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22"/>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Consent of Arnold &amp; Porter Kaye Scholer LLP (included in Exhibit 5.1)</w:t>
              </w:r>
            </w:hyperlink>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20" w:type="dxa"/>
            <w:vAlign w:val="bottom"/>
            <w:gridSpan w:val="7"/>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20" w:type="dxa"/>
            <w:vAlign w:val="bottom"/>
            <w:gridSpan w:val="12"/>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pages to the registration statement)</w:t>
            </w:r>
          </w:p>
        </w:tc>
        <w:tc>
          <w:tcPr>
            <w:tcW w:w="4720" w:type="dxa"/>
            <w:vAlign w:val="bottom"/>
            <w:gridSpan w:val="12"/>
          </w:tcPr>
          <w:p>
            <w:pPr>
              <w:spacing w:after="0"/>
              <w:rPr>
                <w:sz w:val="18"/>
                <w:szCs w:val="18"/>
                <w:color w:val="auto"/>
              </w:rPr>
            </w:pPr>
          </w:p>
        </w:tc>
      </w:tr>
      <w:tr>
        <w:trPr>
          <w:trHeight w:val="21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r:id="rId35">
              <w:r>
                <w:rPr>
                  <w:rFonts w:ascii="Times New Roman" w:cs="Times New Roman" w:eastAsia="Times New Roman" w:hAnsi="Times New Roman"/>
                  <w:sz w:val="18"/>
                  <w:szCs w:val="18"/>
                  <w:color w:val="0000FF"/>
                  <w:w w:val="97"/>
                </w:rPr>
                <w:t>Filing Fee Table</w:t>
              </w:r>
            </w:hyperlink>
          </w:p>
        </w:tc>
        <w:tc>
          <w:tcPr>
            <w:tcW w:w="9100" w:type="dxa"/>
            <w:vAlign w:val="bottom"/>
            <w:gridSpan w:val="20"/>
          </w:tcPr>
          <w:p>
            <w:pPr>
              <w:spacing w:after="0"/>
              <w:rPr>
                <w:sz w:val="18"/>
                <w:szCs w:val="18"/>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right="9960" w:firstLine="8"/>
        <w:spacing w:after="0" w:line="278" w:lineRule="auto"/>
        <w:tabs>
          <w:tab w:leader="none" w:pos="31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1300" w:right="60" w:hanging="320"/>
        <w:spacing w:after="0" w:line="255" w:lineRule="auto"/>
        <w:tabs>
          <w:tab w:leader="none" w:pos="129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34"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28" w:lineRule="exact"/>
        <w:rPr>
          <w:sz w:val="20"/>
          <w:szCs w:val="20"/>
          <w:color w:val="auto"/>
        </w:rPr>
      </w:pPr>
    </w:p>
    <w:p>
      <w:pPr>
        <w:jc w:val="both"/>
        <w:ind w:left="980" w:right="12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71"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8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7" w:lineRule="exact"/>
        <w:rPr>
          <w:rFonts w:ascii="Times New Roman" w:cs="Times New Roman" w:eastAsia="Times New Roman" w:hAnsi="Times New Roman"/>
          <w:sz w:val="18"/>
          <w:szCs w:val="18"/>
          <w:color w:val="auto"/>
        </w:rPr>
      </w:pPr>
    </w:p>
    <w:p>
      <w:pPr>
        <w:ind w:left="1300" w:hanging="320"/>
        <w:spacing w:after="0" w:line="253"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left="968" w:right="740"/>
        <w:spacing w:after="0" w:line="312" w:lineRule="auto"/>
        <w:rPr>
          <w:sz w:val="20"/>
          <w:szCs w:val="20"/>
          <w:color w:val="auto"/>
        </w:rPr>
      </w:pPr>
      <w:r>
        <w:rPr>
          <w:rFonts w:ascii="Times New Roman" w:cs="Times New Roman" w:eastAsia="Times New Roman" w:hAnsi="Times New Roman"/>
          <w:sz w:val="17"/>
          <w:szCs w:val="17"/>
          <w:color w:val="auto"/>
        </w:rPr>
        <w:t>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6" w:lineRule="exact"/>
        <w:rPr>
          <w:sz w:val="20"/>
          <w:szCs w:val="20"/>
          <w:color w:val="auto"/>
        </w:rPr>
      </w:pPr>
    </w:p>
    <w:p>
      <w:pPr>
        <w:ind w:left="648" w:right="80" w:hanging="324"/>
        <w:spacing w:after="0" w:line="258" w:lineRule="auto"/>
        <w:tabs>
          <w:tab w:leader="none" w:pos="6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8"/>
          <w:szCs w:val="18"/>
          <w:color w:val="auto"/>
        </w:rPr>
      </w:pPr>
    </w:p>
    <w:p>
      <w:pPr>
        <w:ind w:left="968" w:right="200" w:hanging="320"/>
        <w:spacing w:after="0" w:line="282" w:lineRule="auto"/>
        <w:tabs>
          <w:tab w:leader="none" w:pos="96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07" w:lineRule="exact"/>
        <w:rPr>
          <w:rFonts w:ascii="Times New Roman" w:cs="Times New Roman" w:eastAsia="Times New Roman" w:hAnsi="Times New Roman"/>
          <w:sz w:val="18"/>
          <w:szCs w:val="18"/>
          <w:color w:val="auto"/>
        </w:rPr>
      </w:pPr>
    </w:p>
    <w:p>
      <w:pPr>
        <w:ind w:left="968" w:right="40" w:hanging="320"/>
        <w:spacing w:after="0" w:line="282" w:lineRule="auto"/>
        <w:tabs>
          <w:tab w:leader="none" w:pos="9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7"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328" w:right="60" w:hanging="328"/>
        <w:spacing w:after="0" w:line="258"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sz w:val="20"/>
          <w:szCs w:val="20"/>
          <w:color w:val="auto"/>
        </w:rPr>
      </w:pPr>
    </w:p>
    <w:p>
      <w:pPr>
        <w:ind w:left="328" w:hanging="328"/>
        <w:spacing w:after="0" w:line="254"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888"/>
          </w:cols>
          <w:pgMar w:left="652" w:top="1440" w:right="359" w:bottom="1440" w:gutter="0" w:footer="0" w:header="0"/>
        </w:sectPr>
      </w:pPr>
    </w:p>
    <w:bookmarkStart w:id="29" w:name="page30"/>
    <w:bookmarkEnd w:id="2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City of Las Vegas, State of Nevada on April 7, 2025.</w:t>
      </w:r>
    </w:p>
    <w:p>
      <w:pPr>
        <w:spacing w:after="0" w:line="162"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HF FOODS GROUP INC.</w:t>
            </w:r>
          </w:p>
        </w:tc>
        <w:tc>
          <w:tcPr>
            <w:tcW w:w="4560" w:type="dxa"/>
            <w:vAlign w:val="bottom"/>
          </w:tcPr>
          <w:p>
            <w:pPr>
              <w:spacing w:after="0"/>
              <w:rPr>
                <w:sz w:val="20"/>
                <w:szCs w:val="20"/>
                <w:color w:val="auto"/>
              </w:rPr>
            </w:pPr>
          </w:p>
        </w:tc>
      </w:tr>
      <w:tr>
        <w:trPr>
          <w:trHeight w:val="76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Felix Lin</w:t>
            </w:r>
          </w:p>
        </w:tc>
        <w:tc>
          <w:tcPr>
            <w:tcW w:w="4560" w:type="dxa"/>
            <w:vAlign w:val="bottom"/>
            <w:tcBorders>
              <w:bottom w:val="single" w:sz="8" w:color="auto"/>
            </w:tcBorders>
          </w:tcPr>
          <w:p>
            <w:pPr>
              <w:spacing w:after="0"/>
              <w:rPr>
                <w:sz w:val="24"/>
                <w:szCs w:val="24"/>
                <w:color w:val="auto"/>
              </w:rPr>
            </w:pPr>
          </w:p>
        </w:tc>
      </w:tr>
      <w:tr>
        <w:trPr>
          <w:trHeight w:val="218"/>
        </w:trPr>
        <w:tc>
          <w:tcPr>
            <w:tcW w:w="100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Felix Lin</w:t>
            </w:r>
          </w:p>
        </w:tc>
      </w:tr>
      <w:tr>
        <w:trPr>
          <w:trHeight w:val="234"/>
        </w:trPr>
        <w:tc>
          <w:tcPr>
            <w:tcW w:w="100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Christine Chang and Felix Lin, and each of them acting individually and without the other, as his or her true and lawful attorneys-in-fact and agents,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substitute or substitutes, may lawfully do or cause to be done by virtue hereof.</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below as of April 7,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0" w:type="dxa"/>
            <w:vAlign w:val="bottom"/>
          </w:tcPr>
          <w:p>
            <w:pPr>
              <w:spacing w:after="0"/>
              <w:rPr>
                <w:sz w:val="16"/>
                <w:szCs w:val="16"/>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63"/>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Felix Lin</w:t>
            </w: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President</w:t>
            </w:r>
          </w:p>
        </w:tc>
      </w:tr>
      <w:tr>
        <w:trPr>
          <w:trHeight w:val="228"/>
        </w:trPr>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Felix Lin</w:t>
            </w:r>
          </w:p>
        </w:tc>
        <w:tc>
          <w:tcPr>
            <w:tcW w:w="10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Cindy Yao</w:t>
            </w:r>
          </w:p>
        </w:tc>
        <w:tc>
          <w:tcPr>
            <w:tcW w:w="10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Cindy Yao</w:t>
            </w:r>
          </w:p>
        </w:tc>
        <w:tc>
          <w:tcPr>
            <w:tcW w:w="10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27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Xiao Mou Zhang</w:t>
            </w:r>
          </w:p>
        </w:tc>
        <w:tc>
          <w:tcPr>
            <w:tcW w:w="10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Xiao Mou Zhang</w:t>
            </w:r>
          </w:p>
        </w:tc>
        <w:tc>
          <w:tcPr>
            <w:tcW w:w="10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27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Lisa Lim</w:t>
            </w:r>
          </w:p>
        </w:tc>
        <w:tc>
          <w:tcPr>
            <w:tcW w:w="10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Lisa Lim</w:t>
            </w:r>
          </w:p>
        </w:tc>
        <w:tc>
          <w:tcPr>
            <w:tcW w:w="10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27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Maria Ross</w:t>
            </w:r>
          </w:p>
        </w:tc>
        <w:tc>
          <w:tcPr>
            <w:tcW w:w="10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Maria Ross</w:t>
            </w:r>
          </w:p>
        </w:tc>
        <w:tc>
          <w:tcPr>
            <w:tcW w:w="10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27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Yujie Wang</w:t>
            </w:r>
          </w:p>
        </w:tc>
        <w:tc>
          <w:tcPr>
            <w:tcW w:w="10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Dr. Yujie Wang</w:t>
            </w:r>
          </w:p>
        </w:tc>
        <w:tc>
          <w:tcPr>
            <w:tcW w:w="10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27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Charlotte Westfall</w:t>
            </w:r>
          </w:p>
        </w:tc>
        <w:tc>
          <w:tcPr>
            <w:tcW w:w="10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Charlotte Westfall</w:t>
            </w:r>
          </w:p>
        </w:tc>
        <w:tc>
          <w:tcPr>
            <w:tcW w:w="100" w:type="dxa"/>
            <w:vAlign w:val="bottom"/>
          </w:tcPr>
          <w:p>
            <w:pPr>
              <w:spacing w:after="0"/>
              <w:rPr>
                <w:sz w:val="19"/>
                <w:szCs w:val="19"/>
                <w:color w:val="auto"/>
              </w:rPr>
            </w:pPr>
          </w:p>
        </w:tc>
        <w:tc>
          <w:tcPr>
            <w:tcW w:w="5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44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1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Prospectus constituting a part of this Registration Statement of our reports dated March 17, 2025, relating to the consolidated financial statements and the effectiveness of internal control over financial reporting of HF</w:t>
      </w:r>
    </w:p>
    <w:p>
      <w:pPr>
        <w:spacing w:after="0" w:line="212" w:lineRule="auto"/>
        <w:rPr>
          <w:sz w:val="20"/>
          <w:szCs w:val="20"/>
          <w:color w:val="auto"/>
        </w:rPr>
      </w:pPr>
      <w:r>
        <w:rPr>
          <w:rFonts w:ascii="Times New Roman" w:cs="Times New Roman" w:eastAsia="Times New Roman" w:hAnsi="Times New Roman"/>
          <w:sz w:val="20"/>
          <w:szCs w:val="20"/>
          <w:color w:val="auto"/>
        </w:rPr>
        <w:t>Foods Group Inc. (the Company) appearing in the Company’s Annual Report on Form 10-K for the year ended December 31, 2024. Our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report on the effectiveness of the Company’s internal control over financial reporting expresses an adverse opinion on the effectiveness of the Company’s internal control over financial reporting as of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consent to the reference to us under the caption “Experts” in the Prospectus.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Troy, Michigan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7,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3F2DBA31"/>
    <w:multiLevelType w:val="hybridMultilevel"/>
    <w:lvl w:ilvl="0">
      <w:lvlJc w:val="left"/>
      <w:lvlText w:val="%1."/>
      <w:numFmt w:val="decimal"/>
      <w:start w:val="2"/>
    </w:lvl>
    <w:lvl w:ilvl="1">
      <w:lvlJc w:val="left"/>
      <w:lvlText w:val="%2."/>
      <w:numFmt w:val="lowerRoman"/>
      <w:start w:val="1"/>
    </w:lvl>
  </w:abstractNum>
  <w:abstractNum w:abstractNumId="17">
    <w:nsid w:val="7C83E458"/>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8">
    <w:nsid w:val="257130A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9">
    <w:nsid w:val="62BBD9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14" Type="http://schemas.openxmlformats.org/officeDocument/2006/relationships/hyperlink" Target="https://www.sec.gov/ix?doc=/Archives/edgar/data/1680873/000168087325000006/hffg-20241231.htm" TargetMode="External"/><Relationship Id="rId15" Type="http://schemas.openxmlformats.org/officeDocument/2006/relationships/hyperlink" Target="https://www.sec.gov/ix?doc=/Archives/edgar/data/1680873/000168087324000019/hffg-20240424.htm" TargetMode="External"/><Relationship Id="rId16" Type="http://schemas.openxmlformats.org/officeDocument/2006/relationships/hyperlink" Target="https://www.sec.gov/ix?doc=/Archives/edgar/data/1680873/000162828025005956/hffg-20250212.htm" TargetMode="External"/><Relationship Id="rId17" Type="http://schemas.openxmlformats.org/officeDocument/2006/relationships/hyperlink" Target="https://www.sec.gov/ix?doc=/Archives/edgar/data/1680873/000168087325000005/hffg-20250313.htm" TargetMode="External"/><Relationship Id="rId18" Type="http://schemas.openxmlformats.org/officeDocument/2006/relationships/hyperlink" Target="https://www.sec.gov/Archives/edgar/data/1680873/000161577417004127/s107068_8a12b.htm" TargetMode="External"/><Relationship Id="rId19" Type="http://schemas.openxmlformats.org/officeDocument/2006/relationships/hyperlink" Target="https://www.sec.gov/Archives/edgar/data/1680873/000168087325000006/a202410k-ex47.htm" TargetMode="External"/><Relationship Id="rId27" Type="http://schemas.openxmlformats.org/officeDocument/2006/relationships/hyperlink" Target="https://www.sec.gov/Archives/edgar/data/1680873/000143774919021487/ex_162902.htm" TargetMode="External"/><Relationship Id="rId28" Type="http://schemas.openxmlformats.org/officeDocument/2006/relationships/hyperlink" Target="https://www.sec.gov/Archives/edgar/data/1680873/000168087322000056/ex302-arbylawsxnovember2022.htm" TargetMode="External"/><Relationship Id="rId29" Type="http://schemas.openxmlformats.org/officeDocument/2006/relationships/hyperlink" Target="https://www.sec.gov/Archives/edgar/data/1680873/000119312523098200/d425223dex31.htm" TargetMode="External"/><Relationship Id="rId30" Type="http://schemas.openxmlformats.org/officeDocument/2006/relationships/hyperlink" Target="https://www.sec.gov/Archives/edgar/data/1680873/000168087323000016/exhibit31-bylawamendment.htm" TargetMode="External"/><Relationship Id="rId31" Type="http://schemas.openxmlformats.org/officeDocument/2006/relationships/hyperlink" Target="https://www.sec.gov/Archives/edgar/data/1680873/000161577417003872/s106920_ex4-2.htm" TargetMode="External"/><Relationship Id="rId32" Type="http://schemas.openxmlformats.org/officeDocument/2006/relationships/hyperlink" Target="https://www.sec.gov/Archives/edgar/data/1680873/000119312523098200/d425223dex41.htm" TargetMode="External"/><Relationship Id="rId33" Type="http://schemas.openxmlformats.org/officeDocument/2006/relationships/hyperlink" Target="https://www.sec.gov/Archives/edgar/data/1680873/000168087324000013/exhibit42-8axa.htm" TargetMode="External"/><Relationship Id="rId34" Type="http://schemas.openxmlformats.org/officeDocument/2006/relationships/hyperlink" Target="https://www.sec.gov/Archives/edgar/data/1680873/000162828024052075/exhibit51-sx3december2024.htm" TargetMode="External"/><Relationship Id="rId35" Type="http://schemas.openxmlformats.org/officeDocument/2006/relationships/hyperlink" Target="https://www.sec.gov/Archives/edgar/data/1680873/000162828024052075/exhibit107-sx3december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2025-04-07T16:30:28Z</dcterms:created>
  <dcterms:modified xsi:type="dcterms:W3CDTF">2025-04-07T16:30:28Z</dcterms:modified>
</cp:coreProperties>
</file>